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325" w:rsidRDefault="00D3732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37325" w:rsidRDefault="00D37325">
      <w:pPr>
        <w:pStyle w:val="ConsPlusNormal"/>
        <w:jc w:val="both"/>
        <w:outlineLvl w:val="0"/>
      </w:pPr>
    </w:p>
    <w:p w:rsidR="00D37325" w:rsidRDefault="00D37325">
      <w:pPr>
        <w:pStyle w:val="ConsPlusTitle"/>
        <w:jc w:val="center"/>
        <w:outlineLvl w:val="0"/>
      </w:pPr>
      <w:r>
        <w:t>ЦЕНТРАЛЬНЫЙ БАНК РОССИЙСКОЙ ФЕДЕРАЦИИ</w:t>
      </w:r>
    </w:p>
    <w:p w:rsidR="00D37325" w:rsidRDefault="00D37325">
      <w:pPr>
        <w:pStyle w:val="ConsPlusTitle"/>
        <w:jc w:val="center"/>
      </w:pPr>
    </w:p>
    <w:p w:rsidR="00D37325" w:rsidRDefault="00D37325">
      <w:pPr>
        <w:pStyle w:val="ConsPlusTitle"/>
        <w:jc w:val="center"/>
      </w:pPr>
      <w:r>
        <w:t>20 декабря 2023 г. N 18-МР</w:t>
      </w:r>
    </w:p>
    <w:p w:rsidR="00D37325" w:rsidRDefault="00D37325">
      <w:pPr>
        <w:pStyle w:val="ConsPlusTitle"/>
        <w:jc w:val="center"/>
      </w:pPr>
    </w:p>
    <w:p w:rsidR="00D37325" w:rsidRDefault="00D37325">
      <w:pPr>
        <w:pStyle w:val="ConsPlusTitle"/>
        <w:jc w:val="center"/>
      </w:pPr>
      <w:r>
        <w:t>МЕТОДИЧЕСКИЕ РЕКОМЕНДАЦИИ</w:t>
      </w:r>
    </w:p>
    <w:p w:rsidR="00D37325" w:rsidRDefault="00D37325">
      <w:pPr>
        <w:pStyle w:val="ConsPlusTitle"/>
        <w:jc w:val="center"/>
      </w:pPr>
      <w:r>
        <w:t>БАНКА РОССИИ ПО ОПИСАНИЮ НАИМЕНОВАНИЙ ОБЪЕКТОВ</w:t>
      </w:r>
    </w:p>
    <w:p w:rsidR="00D37325" w:rsidRDefault="00D37325">
      <w:pPr>
        <w:pStyle w:val="ConsPlusTitle"/>
        <w:jc w:val="center"/>
      </w:pPr>
      <w:r>
        <w:t>ИНФОРМАЦИОННОЙ ИНФРАСТРУКТУРЫ</w:t>
      </w:r>
    </w:p>
    <w:p w:rsidR="00D37325" w:rsidRDefault="00D37325">
      <w:pPr>
        <w:pStyle w:val="ConsPlusNormal"/>
        <w:jc w:val="both"/>
      </w:pPr>
    </w:p>
    <w:p w:rsidR="00D37325" w:rsidRDefault="00D37325">
      <w:pPr>
        <w:pStyle w:val="ConsPlusTitle"/>
        <w:ind w:firstLine="540"/>
        <w:jc w:val="both"/>
        <w:outlineLvl w:val="1"/>
      </w:pPr>
      <w:r>
        <w:t>Глава 1. Общие положения</w:t>
      </w:r>
    </w:p>
    <w:p w:rsidR="00D37325" w:rsidRDefault="00D37325">
      <w:pPr>
        <w:pStyle w:val="ConsPlusNormal"/>
        <w:ind w:firstLine="540"/>
        <w:jc w:val="both"/>
      </w:pPr>
    </w:p>
    <w:p w:rsidR="00D37325" w:rsidRDefault="00D37325">
      <w:pPr>
        <w:pStyle w:val="ConsPlusNormal"/>
        <w:ind w:firstLine="540"/>
        <w:jc w:val="both"/>
      </w:pPr>
      <w:r>
        <w:t xml:space="preserve">1.1. Настоящие Методические рекомендации разработаны в целях обеспечения единства подходов к описанию наименований (при учете состава) объектов информационной инфраструктуры, задействованных при выполнении технологических процессов, в соответствии с </w:t>
      </w:r>
      <w:hyperlink r:id="rId5">
        <w:r>
          <w:rPr>
            <w:color w:val="0000FF"/>
          </w:rPr>
          <w:t>абзацем четвертым подпункта 6.1 пункта 6</w:t>
        </w:r>
      </w:hyperlink>
      <w:r>
        <w:t xml:space="preserve"> Положения Банка России от 12.01.2022 N 787-П "Об обязательных для кредитных организаций требованиях к операционной надежности при осуществлении банковской деятельности в целях обеспечения непрерывности оказания банковских услуг" для кредитных организаций и </w:t>
      </w:r>
      <w:hyperlink r:id="rId6">
        <w:r>
          <w:rPr>
            <w:color w:val="0000FF"/>
          </w:rPr>
          <w:t>абзацем четвертым пункта 1.4</w:t>
        </w:r>
      </w:hyperlink>
      <w:r>
        <w:t xml:space="preserve"> Положения Банка России от 15.11.2021 N 779-П "Об установлении обязательных для некредитных финансовых организаций требований к операционной надежности при осуществлении видов деятельности, предусмотренных частью первой статьи 76.1 Федерального закона от 10 июля 2002 года N 86-ФЗ "О Центральном банке Российской Федерации (Банке России)", в целях обеспечения непрерывности оказания финансовых услуг (за исключением банковских услуг)" для некредитных финансовых организаций.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 xml:space="preserve">Используемые в настоящих Методических рекомендациях понятия применяются в значениях, в которых они используются в </w:t>
      </w:r>
      <w:hyperlink r:id="rId7">
        <w:r>
          <w:rPr>
            <w:color w:val="0000FF"/>
          </w:rPr>
          <w:t>Положении</w:t>
        </w:r>
      </w:hyperlink>
      <w:r>
        <w:t xml:space="preserve"> Банка России от 12.01.2022 N 787-П "Об обязательных для кредитных организаций требованиях к операционной надежности при осуществлении банковской деятельности в целях обеспечения непрерывности оказания банковских услуг" и </w:t>
      </w:r>
      <w:hyperlink r:id="rId8">
        <w:r>
          <w:rPr>
            <w:color w:val="0000FF"/>
          </w:rPr>
          <w:t>Положении</w:t>
        </w:r>
      </w:hyperlink>
      <w:r>
        <w:t xml:space="preserve"> Банка России от 15.11.2021 N 779-П "Об установлении обязательных для некредитных финансовых организаций требований к операционной надежности при осуществлении видов деятельности, предусмотренных частью первой статьи 76.1 Федерального закона от 10 июля 2002 года N 86-ФЗ "О Центральном банке Российской Федерации (Банке России)", в целях обеспечения непрерывности оказания финансовых услуг (за исключением банковских услуг)".</w:t>
      </w:r>
    </w:p>
    <w:p w:rsidR="00D37325" w:rsidRDefault="00D37325">
      <w:pPr>
        <w:pStyle w:val="ConsPlusNormal"/>
        <w:spacing w:before="220"/>
        <w:ind w:firstLine="540"/>
        <w:jc w:val="both"/>
      </w:pPr>
      <w:bookmarkStart w:id="0" w:name="P13"/>
      <w:bookmarkEnd w:id="0"/>
      <w:r>
        <w:t>1.2. Настоящие Методические рекомендации рекомендованы для применения кредитными организациями и некредитными финансовыми организациями при осуществлении банковской деятельности и деятельности в сфере финансовых рынков (далее - финансовые организации) в целях представления в Банк России информации об объектах информационной инфраструктуры в рамках информирования Банка России о выявленных инцидентах операционной надежности по запросу Банка России, а также при заполнении графы "Наименование объекта информационной инфраструктуры", группы аналитических признаков "Наименование объекта информатизации" и показателя "Информация об автоматизированных системах и приложениях" отчетности финансовых организаций, в том числе: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 xml:space="preserve">отчетности по </w:t>
      </w:r>
      <w:hyperlink r:id="rId9">
        <w:r>
          <w:rPr>
            <w:color w:val="0000FF"/>
          </w:rPr>
          <w:t>форме 0420174</w:t>
        </w:r>
      </w:hyperlink>
      <w:r>
        <w:t xml:space="preserve"> "Сведения о показателях операционной надежности страховой организации и применяемых ею информационных технологиях" &lt;1&gt;;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 xml:space="preserve">&lt;1&gt; Установлена </w:t>
      </w:r>
      <w:hyperlink r:id="rId10">
        <w:r>
          <w:rPr>
            <w:color w:val="0000FF"/>
          </w:rPr>
          <w:t>Указанием</w:t>
        </w:r>
      </w:hyperlink>
      <w:r>
        <w:t xml:space="preserve"> Банка России от 14.11.2022 N 6315-У "О формах, сроках и порядке составления и представления в Банк России отчетности страховщиков".</w:t>
      </w:r>
    </w:p>
    <w:p w:rsidR="00D37325" w:rsidRDefault="00D37325">
      <w:pPr>
        <w:pStyle w:val="ConsPlusNormal"/>
        <w:jc w:val="both"/>
      </w:pPr>
    </w:p>
    <w:p w:rsidR="00D37325" w:rsidRDefault="00D37325">
      <w:pPr>
        <w:pStyle w:val="ConsPlusNormal"/>
        <w:ind w:firstLine="540"/>
        <w:jc w:val="both"/>
      </w:pPr>
      <w:r>
        <w:lastRenderedPageBreak/>
        <w:t xml:space="preserve">отчетности по </w:t>
      </w:r>
      <w:hyperlink r:id="rId11">
        <w:r>
          <w:rPr>
            <w:color w:val="0000FF"/>
          </w:rPr>
          <w:t>форме 0420265</w:t>
        </w:r>
      </w:hyperlink>
      <w:r>
        <w:t xml:space="preserve"> "Сведения о показателях операционной надежности негосударственного пенсионного фонда и применяемых им информационных технологиях" &lt;2&gt;;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 xml:space="preserve">&lt;2&gt; Установлена </w:t>
      </w:r>
      <w:hyperlink r:id="rId12">
        <w:r>
          <w:rPr>
            <w:color w:val="0000FF"/>
          </w:rPr>
          <w:t>Указанием</w:t>
        </w:r>
      </w:hyperlink>
      <w:r>
        <w:t xml:space="preserve"> Банка России от 27.09.2022 N 6269-У "О формах, сроках и порядке составления и представления в Банк России отчетности, в том числе требованиях к отчетности по обязательному пенсионному страхованию, негосударственных пенсионных фондов".</w:t>
      </w:r>
    </w:p>
    <w:p w:rsidR="00D37325" w:rsidRDefault="00D37325">
      <w:pPr>
        <w:pStyle w:val="ConsPlusNormal"/>
        <w:jc w:val="both"/>
      </w:pPr>
    </w:p>
    <w:p w:rsidR="00D37325" w:rsidRDefault="00D37325">
      <w:pPr>
        <w:pStyle w:val="ConsPlusNormal"/>
        <w:ind w:firstLine="540"/>
        <w:jc w:val="both"/>
      </w:pPr>
      <w:r>
        <w:t xml:space="preserve">отчетности по </w:t>
      </w:r>
      <w:hyperlink r:id="rId13">
        <w:r>
          <w:rPr>
            <w:color w:val="0000FF"/>
          </w:rPr>
          <w:t>форме 0420432</w:t>
        </w:r>
      </w:hyperlink>
      <w:r>
        <w:t xml:space="preserve"> "Сведения о показателях операционной надежности профессиональных участников рынка ценных бумаг, организаторов торговли, клиринговых организаций и применяемых ими информационных технологиях" &lt;3&gt;;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 xml:space="preserve">&lt;3&gt; Установлена </w:t>
      </w:r>
      <w:hyperlink r:id="rId14">
        <w:r>
          <w:rPr>
            <w:color w:val="0000FF"/>
          </w:rPr>
          <w:t>Указанием</w:t>
        </w:r>
      </w:hyperlink>
      <w:r>
        <w:t xml:space="preserve"> Банка России от 30.09.2022 N 6282-У "Об объеме, формах, сроках и порядке составления и представления в Банк России отчетности профессиональных участников рынка ценных бумаг, организаторов торговли и клиринговых организаций, а также другой информации".</w:t>
      </w:r>
    </w:p>
    <w:p w:rsidR="00D37325" w:rsidRDefault="00D37325">
      <w:pPr>
        <w:pStyle w:val="ConsPlusNormal"/>
        <w:jc w:val="both"/>
      </w:pPr>
    </w:p>
    <w:p w:rsidR="00D37325" w:rsidRDefault="00D37325">
      <w:pPr>
        <w:pStyle w:val="ConsPlusNormal"/>
        <w:ind w:firstLine="540"/>
        <w:jc w:val="both"/>
      </w:pPr>
      <w:r>
        <w:t xml:space="preserve">отчета по </w:t>
      </w:r>
      <w:hyperlink r:id="rId15">
        <w:r>
          <w:rPr>
            <w:color w:val="0000FF"/>
          </w:rPr>
          <w:t>форме 0420523</w:t>
        </w:r>
      </w:hyperlink>
      <w:r>
        <w:t xml:space="preserve"> "Сведения о показателях операционной надежности управляющей компании и применяемых ею информационных технологиях" &lt;4&gt;;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 xml:space="preserve">&lt;4&gt; Установлена </w:t>
      </w:r>
      <w:hyperlink r:id="rId16">
        <w:r>
          <w:rPr>
            <w:color w:val="0000FF"/>
          </w:rPr>
          <w:t>Указанием</w:t>
        </w:r>
      </w:hyperlink>
      <w:r>
        <w:t xml:space="preserve"> Банка России от 05.10.2022 N 6292-У "Об объеме, формах, порядке и сроках составления и представления в Банк России отчетов акционерными инвестиционными фондами, управляющими компаниями инвестиционных фондов, паевых инвестиционных фондов и негосударственных пенсионных фондов".</w:t>
      </w:r>
    </w:p>
    <w:p w:rsidR="00D37325" w:rsidRDefault="00D37325">
      <w:pPr>
        <w:pStyle w:val="ConsPlusNormal"/>
        <w:jc w:val="both"/>
      </w:pPr>
    </w:p>
    <w:p w:rsidR="00D37325" w:rsidRDefault="00D37325">
      <w:pPr>
        <w:pStyle w:val="ConsPlusNormal"/>
        <w:ind w:firstLine="540"/>
        <w:jc w:val="both"/>
      </w:pPr>
      <w:r>
        <w:t xml:space="preserve">отчетности (отчета) по </w:t>
      </w:r>
      <w:hyperlink r:id="rId17">
        <w:r>
          <w:rPr>
            <w:color w:val="0000FF"/>
          </w:rPr>
          <w:t>форме 0420721</w:t>
        </w:r>
      </w:hyperlink>
      <w:r>
        <w:t xml:space="preserve"> "Сведения о показателях операционной надежности оператора инвестиционной платформы, оператора финансовой платформы, оператора информационной системы, в которой осуществляется выпуск цифровых финансовых активов, оператора обмена цифровых финансовых активов и применяемых ими информационных технологиях" &lt;5&gt;;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 xml:space="preserve">&lt;5&gt; Установлена </w:t>
      </w:r>
      <w:hyperlink r:id="rId18">
        <w:r>
          <w:rPr>
            <w:color w:val="0000FF"/>
          </w:rPr>
          <w:t>Указанием</w:t>
        </w:r>
      </w:hyperlink>
      <w:r>
        <w:t xml:space="preserve"> Банка России от 21.09.2022 N 6243-У "О порядке и сроках составления и представления в Банк России отчетов операторов инвестиционных платформ, отчетности операторов финансовых платформ, операторов информационных систем, в которых осуществляется выпуск цифровых финансовых активов, и операторов обмена цифровых финансовых активов, форме отчетов операторов инвестиционных платформ и составе включаемых в них сведений, составе и формах отчетности операторов финансовых платформ".</w:t>
      </w:r>
    </w:p>
    <w:p w:rsidR="00D37325" w:rsidRDefault="00D37325">
      <w:pPr>
        <w:pStyle w:val="ConsPlusNormal"/>
        <w:jc w:val="both"/>
      </w:pPr>
    </w:p>
    <w:p w:rsidR="00D37325" w:rsidRDefault="00D37325">
      <w:pPr>
        <w:pStyle w:val="ConsPlusNormal"/>
        <w:ind w:firstLine="540"/>
        <w:jc w:val="both"/>
      </w:pPr>
      <w:r>
        <w:t xml:space="preserve">отчетности по </w:t>
      </w:r>
      <w:hyperlink r:id="rId19">
        <w:r>
          <w:rPr>
            <w:color w:val="0000FF"/>
          </w:rPr>
          <w:t>форме 0409072</w:t>
        </w:r>
      </w:hyperlink>
      <w:r>
        <w:t xml:space="preserve"> "Сведения о показателях операционной надежности кредитной организации и применяемых ею информационных технологиях при осуществлении банковской деятельности и деятельности в сфере финансовых рынков" &lt;6&gt;.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 xml:space="preserve">&lt;6&gt; Установлена </w:t>
      </w:r>
      <w:hyperlink r:id="rId20">
        <w:r>
          <w:rPr>
            <w:color w:val="0000FF"/>
          </w:rPr>
          <w:t>Указанием</w:t>
        </w:r>
      </w:hyperlink>
      <w:r>
        <w:t xml:space="preserve"> Банка России от 10.04.2023 N 6406-У "О формах, сроках, порядке составления и представления отчетности кредитных организаций (банковских групп) в Центральный банк Российской Федерации, а также о перечне информации о деятельности кредитных организаций (банковских групп)" (вступает в силу 01.01.2024).</w:t>
      </w:r>
    </w:p>
    <w:p w:rsidR="00D37325" w:rsidRDefault="00D37325">
      <w:pPr>
        <w:pStyle w:val="ConsPlusNormal"/>
        <w:jc w:val="both"/>
      </w:pPr>
    </w:p>
    <w:p w:rsidR="00D37325" w:rsidRDefault="00D37325">
      <w:pPr>
        <w:pStyle w:val="ConsPlusTitle"/>
        <w:ind w:firstLine="540"/>
        <w:jc w:val="both"/>
        <w:outlineLvl w:val="1"/>
      </w:pPr>
      <w:r>
        <w:lastRenderedPageBreak/>
        <w:t>Глава 2. Рекомендации по описанию наименований объектов информационной инфраструктуры</w:t>
      </w:r>
    </w:p>
    <w:p w:rsidR="00D37325" w:rsidRDefault="00D37325">
      <w:pPr>
        <w:pStyle w:val="ConsPlusNormal"/>
        <w:ind w:firstLine="540"/>
        <w:jc w:val="both"/>
      </w:pPr>
    </w:p>
    <w:p w:rsidR="00D37325" w:rsidRDefault="00D37325">
      <w:pPr>
        <w:pStyle w:val="ConsPlusNormal"/>
        <w:ind w:firstLine="540"/>
        <w:jc w:val="both"/>
      </w:pPr>
      <w:r>
        <w:t>2.1. При описании наименований (при учете состава) объектов информационной инфраструктуры рекомендуется учитывать объекты информационной инфраструктуры, относящиеся к критичной архитектуре, в том числе резервные объекты информационной инфраструктуры и объекты информационной инфраструктуры, задействованные в выполнении технологических процессов, которые реализуются поставщиками услуг в сфере информационных технологий (переданных на аутсорсинг и (или) выполняемых с применением внешних информационных систем, предоставляемых поставщиками услуг).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В случае если выполнение технологических процессов, обеспечивающих осуществление переводов денежных средств по поручению физических и юридических лиц, зависит от функционирования платежной системы Банка России, кредитным организациям рекомендуется представлять информацию об объектах информационной инфраструктуры, задействованных на участке платежной системы Банка России.</w:t>
      </w:r>
    </w:p>
    <w:p w:rsidR="00D37325" w:rsidRDefault="00D37325">
      <w:pPr>
        <w:pStyle w:val="ConsPlusNormal"/>
        <w:spacing w:before="220"/>
        <w:ind w:firstLine="540"/>
        <w:jc w:val="both"/>
      </w:pPr>
      <w:bookmarkStart w:id="1" w:name="P42"/>
      <w:bookmarkEnd w:id="1"/>
      <w:r>
        <w:t>2.2. В формируемом финансовой организацией и представляемом в Банк России описании критичной архитектуры, в том числе объектов информационной инфраструктуры, относящихся к автоматизированной системе или отдельному компоненту этой системы (далее - ИТ-продукт), рекомендуется указывать следующие атрибуты:</w:t>
      </w:r>
    </w:p>
    <w:p w:rsidR="00D37325" w:rsidRDefault="00D373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3458"/>
        <w:gridCol w:w="2665"/>
      </w:tblGrid>
      <w:tr w:rsidR="00D37325">
        <w:tc>
          <w:tcPr>
            <w:tcW w:w="510" w:type="dxa"/>
            <w:vMerge w:val="restart"/>
          </w:tcPr>
          <w:p w:rsidR="00D37325" w:rsidRDefault="00D3732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  <w:vMerge w:val="restart"/>
          </w:tcPr>
          <w:p w:rsidR="00D37325" w:rsidRDefault="00D37325">
            <w:pPr>
              <w:pStyle w:val="ConsPlusNormal"/>
              <w:jc w:val="center"/>
            </w:pPr>
            <w:r>
              <w:t>Наименование атрибута</w:t>
            </w:r>
          </w:p>
        </w:tc>
        <w:tc>
          <w:tcPr>
            <w:tcW w:w="6123" w:type="dxa"/>
            <w:gridSpan w:val="2"/>
          </w:tcPr>
          <w:p w:rsidR="00D37325" w:rsidRDefault="00D37325">
            <w:pPr>
              <w:pStyle w:val="ConsPlusNormal"/>
              <w:jc w:val="center"/>
            </w:pPr>
            <w:r>
              <w:t>Рекомендация по заполнению</w:t>
            </w:r>
          </w:p>
        </w:tc>
      </w:tr>
      <w:tr w:rsidR="00D37325">
        <w:tc>
          <w:tcPr>
            <w:tcW w:w="510" w:type="dxa"/>
            <w:vMerge/>
          </w:tcPr>
          <w:p w:rsidR="00D37325" w:rsidRDefault="00D37325">
            <w:pPr>
              <w:pStyle w:val="ConsPlusNormal"/>
            </w:pPr>
          </w:p>
        </w:tc>
        <w:tc>
          <w:tcPr>
            <w:tcW w:w="2438" w:type="dxa"/>
            <w:vMerge/>
          </w:tcPr>
          <w:p w:rsidR="00D37325" w:rsidRDefault="00D37325">
            <w:pPr>
              <w:pStyle w:val="ConsPlusNormal"/>
            </w:pPr>
          </w:p>
        </w:tc>
        <w:tc>
          <w:tcPr>
            <w:tcW w:w="3458" w:type="dxa"/>
          </w:tcPr>
          <w:p w:rsidR="00D37325" w:rsidRDefault="00D37325">
            <w:pPr>
              <w:pStyle w:val="ConsPlusNormal"/>
              <w:jc w:val="center"/>
            </w:pPr>
            <w:r>
              <w:t xml:space="preserve">кредитными организациями и некредитными финансовыми организациями, обязанными соблюдать усиленный или стандартный уровень защиты информации в соответствии с </w:t>
            </w:r>
            <w:hyperlink r:id="rId21">
              <w:r>
                <w:rPr>
                  <w:color w:val="0000FF"/>
                </w:rPr>
                <w:t>подпунктом 3.1 пункта 3</w:t>
              </w:r>
            </w:hyperlink>
            <w:r>
              <w:t xml:space="preserve"> Положения Банка России от 17.04.2019 N 683-П </w:t>
            </w:r>
            <w:hyperlink w:anchor="P187">
              <w:r>
                <w:rPr>
                  <w:color w:val="0000FF"/>
                </w:rPr>
                <w:t>&lt;7&gt;</w:t>
              </w:r>
            </w:hyperlink>
            <w:r>
              <w:t xml:space="preserve">, </w:t>
            </w:r>
            <w:hyperlink r:id="rId22">
              <w:r>
                <w:rPr>
                  <w:color w:val="0000FF"/>
                </w:rPr>
                <w:t>подпунктом 1.4.2</w:t>
              </w:r>
            </w:hyperlink>
            <w:r>
              <w:t xml:space="preserve"> или </w:t>
            </w:r>
            <w:hyperlink r:id="rId23">
              <w:r>
                <w:rPr>
                  <w:color w:val="0000FF"/>
                </w:rPr>
                <w:t>1.4.3 пункта 1.4</w:t>
              </w:r>
            </w:hyperlink>
            <w:r>
              <w:t xml:space="preserve"> Положения Банка России от 20.04.2021 N 757-П </w:t>
            </w:r>
            <w:hyperlink w:anchor="P188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2665" w:type="dxa"/>
          </w:tcPr>
          <w:p w:rsidR="00D37325" w:rsidRDefault="00D37325">
            <w:pPr>
              <w:pStyle w:val="ConsPlusNormal"/>
              <w:jc w:val="center"/>
            </w:pPr>
            <w:r>
              <w:t xml:space="preserve">некредитными финансовыми организациями, обязанными соблюдать минимальный уровень защиты информации в соответствии с </w:t>
            </w:r>
            <w:hyperlink r:id="rId24">
              <w:r>
                <w:rPr>
                  <w:color w:val="0000FF"/>
                </w:rPr>
                <w:t>подпунктом 1.4.4 пункта 1.4</w:t>
              </w:r>
            </w:hyperlink>
            <w:r>
              <w:t xml:space="preserve"> Положения Банка России от 20.04.2021 N 757-П</w:t>
            </w:r>
          </w:p>
        </w:tc>
      </w:tr>
      <w:tr w:rsidR="00D37325">
        <w:tc>
          <w:tcPr>
            <w:tcW w:w="510" w:type="dxa"/>
          </w:tcPr>
          <w:p w:rsidR="00D37325" w:rsidRDefault="00D373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D37325" w:rsidRDefault="00D37325">
            <w:pPr>
              <w:pStyle w:val="ConsPlusNormal"/>
            </w:pPr>
            <w:r>
              <w:t>Технологический процесс</w:t>
            </w:r>
          </w:p>
        </w:tc>
        <w:tc>
          <w:tcPr>
            <w:tcW w:w="3458" w:type="dxa"/>
          </w:tcPr>
          <w:p w:rsidR="00D37325" w:rsidRDefault="00D37325">
            <w:pPr>
              <w:pStyle w:val="ConsPlusNormal"/>
              <w:jc w:val="center"/>
            </w:pPr>
            <w:r>
              <w:t>Для заполнения</w:t>
            </w:r>
          </w:p>
        </w:tc>
        <w:tc>
          <w:tcPr>
            <w:tcW w:w="2665" w:type="dxa"/>
          </w:tcPr>
          <w:p w:rsidR="00D37325" w:rsidRDefault="00D37325">
            <w:pPr>
              <w:pStyle w:val="ConsPlusNormal"/>
              <w:jc w:val="center"/>
            </w:pPr>
            <w:r>
              <w:t>Для заполнения</w:t>
            </w:r>
          </w:p>
        </w:tc>
      </w:tr>
      <w:tr w:rsidR="00D37325">
        <w:tc>
          <w:tcPr>
            <w:tcW w:w="510" w:type="dxa"/>
          </w:tcPr>
          <w:p w:rsidR="00D37325" w:rsidRDefault="00D373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D37325" w:rsidRDefault="00D37325">
            <w:pPr>
              <w:pStyle w:val="ConsPlusNormal"/>
            </w:pPr>
            <w:r>
              <w:t>Наименование автоматизированной системы</w:t>
            </w:r>
          </w:p>
        </w:tc>
        <w:tc>
          <w:tcPr>
            <w:tcW w:w="3458" w:type="dxa"/>
          </w:tcPr>
          <w:p w:rsidR="00D37325" w:rsidRDefault="00D37325">
            <w:pPr>
              <w:pStyle w:val="ConsPlusNormal"/>
              <w:jc w:val="center"/>
            </w:pPr>
            <w:r>
              <w:t>Для заполнения</w:t>
            </w:r>
          </w:p>
        </w:tc>
        <w:tc>
          <w:tcPr>
            <w:tcW w:w="2665" w:type="dxa"/>
          </w:tcPr>
          <w:p w:rsidR="00D37325" w:rsidRDefault="00D37325">
            <w:pPr>
              <w:pStyle w:val="ConsPlusNormal"/>
              <w:jc w:val="center"/>
            </w:pPr>
            <w:r>
              <w:t>Для заполнения</w:t>
            </w:r>
          </w:p>
        </w:tc>
      </w:tr>
      <w:tr w:rsidR="00D37325">
        <w:tc>
          <w:tcPr>
            <w:tcW w:w="510" w:type="dxa"/>
          </w:tcPr>
          <w:p w:rsidR="00D37325" w:rsidRDefault="00D373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D37325" w:rsidRDefault="00D37325">
            <w:pPr>
              <w:pStyle w:val="ConsPlusNormal"/>
            </w:pPr>
            <w:r>
              <w:t>Технологический участок</w:t>
            </w:r>
          </w:p>
        </w:tc>
        <w:tc>
          <w:tcPr>
            <w:tcW w:w="3458" w:type="dxa"/>
          </w:tcPr>
          <w:p w:rsidR="00D37325" w:rsidRDefault="00D37325">
            <w:pPr>
              <w:pStyle w:val="ConsPlusNormal"/>
              <w:jc w:val="center"/>
            </w:pPr>
            <w:r>
              <w:t>Для заполнения</w:t>
            </w:r>
          </w:p>
        </w:tc>
        <w:tc>
          <w:tcPr>
            <w:tcW w:w="2665" w:type="dxa"/>
          </w:tcPr>
          <w:p w:rsidR="00D37325" w:rsidRDefault="00D37325">
            <w:pPr>
              <w:pStyle w:val="ConsPlusNormal"/>
              <w:jc w:val="center"/>
            </w:pPr>
            <w:r>
              <w:t>Для заполнения</w:t>
            </w:r>
          </w:p>
        </w:tc>
      </w:tr>
      <w:tr w:rsidR="00D37325">
        <w:tc>
          <w:tcPr>
            <w:tcW w:w="510" w:type="dxa"/>
          </w:tcPr>
          <w:p w:rsidR="00D37325" w:rsidRDefault="00D373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D37325" w:rsidRDefault="00D37325">
            <w:pPr>
              <w:pStyle w:val="ConsPlusNormal"/>
            </w:pPr>
            <w:r>
              <w:t>Бизнес-функция</w:t>
            </w:r>
          </w:p>
        </w:tc>
        <w:tc>
          <w:tcPr>
            <w:tcW w:w="3458" w:type="dxa"/>
          </w:tcPr>
          <w:p w:rsidR="00D37325" w:rsidRDefault="00D37325">
            <w:pPr>
              <w:pStyle w:val="ConsPlusNormal"/>
              <w:jc w:val="center"/>
            </w:pPr>
            <w:r>
              <w:t>Для заполнения</w:t>
            </w:r>
          </w:p>
        </w:tc>
        <w:tc>
          <w:tcPr>
            <w:tcW w:w="2665" w:type="dxa"/>
          </w:tcPr>
          <w:p w:rsidR="00D37325" w:rsidRDefault="00D37325">
            <w:pPr>
              <w:pStyle w:val="ConsPlusNormal"/>
              <w:jc w:val="center"/>
            </w:pPr>
            <w:r>
              <w:t>Для заполнения</w:t>
            </w:r>
          </w:p>
        </w:tc>
      </w:tr>
      <w:tr w:rsidR="00D37325">
        <w:tc>
          <w:tcPr>
            <w:tcW w:w="510" w:type="dxa"/>
          </w:tcPr>
          <w:p w:rsidR="00D37325" w:rsidRDefault="00D373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8" w:type="dxa"/>
          </w:tcPr>
          <w:p w:rsidR="00D37325" w:rsidRDefault="00D37325">
            <w:pPr>
              <w:pStyle w:val="ConsPlusNormal"/>
            </w:pPr>
            <w:r>
              <w:t>Функциональное значение системы</w:t>
            </w:r>
          </w:p>
        </w:tc>
        <w:tc>
          <w:tcPr>
            <w:tcW w:w="3458" w:type="dxa"/>
          </w:tcPr>
          <w:p w:rsidR="00D37325" w:rsidRDefault="00D37325">
            <w:pPr>
              <w:pStyle w:val="ConsPlusNormal"/>
              <w:jc w:val="center"/>
            </w:pPr>
            <w:r>
              <w:t>Для заполнения</w:t>
            </w:r>
          </w:p>
        </w:tc>
        <w:tc>
          <w:tcPr>
            <w:tcW w:w="2665" w:type="dxa"/>
          </w:tcPr>
          <w:p w:rsidR="00D37325" w:rsidRDefault="00D37325">
            <w:pPr>
              <w:pStyle w:val="ConsPlusNormal"/>
              <w:jc w:val="center"/>
            </w:pPr>
            <w:r>
              <w:t>Для заполнения</w:t>
            </w:r>
          </w:p>
        </w:tc>
      </w:tr>
      <w:tr w:rsidR="00D37325">
        <w:tc>
          <w:tcPr>
            <w:tcW w:w="510" w:type="dxa"/>
          </w:tcPr>
          <w:p w:rsidR="00D37325" w:rsidRDefault="00D373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</w:tcPr>
          <w:p w:rsidR="00D37325" w:rsidRDefault="00D37325">
            <w:pPr>
              <w:pStyle w:val="ConsPlusNormal"/>
            </w:pPr>
            <w:r>
              <w:t>Разработчик автоматизированной системы</w:t>
            </w:r>
          </w:p>
        </w:tc>
        <w:tc>
          <w:tcPr>
            <w:tcW w:w="3458" w:type="dxa"/>
          </w:tcPr>
          <w:p w:rsidR="00D37325" w:rsidRDefault="00D37325">
            <w:pPr>
              <w:pStyle w:val="ConsPlusNormal"/>
              <w:jc w:val="center"/>
            </w:pPr>
            <w:r>
              <w:t>Для заполнения</w:t>
            </w:r>
          </w:p>
        </w:tc>
        <w:tc>
          <w:tcPr>
            <w:tcW w:w="2665" w:type="dxa"/>
          </w:tcPr>
          <w:p w:rsidR="00D37325" w:rsidRDefault="00D37325">
            <w:pPr>
              <w:pStyle w:val="ConsPlusNormal"/>
              <w:jc w:val="center"/>
            </w:pPr>
            <w:r>
              <w:t>Для заполнения</w:t>
            </w:r>
          </w:p>
        </w:tc>
      </w:tr>
      <w:tr w:rsidR="00D37325">
        <w:tc>
          <w:tcPr>
            <w:tcW w:w="510" w:type="dxa"/>
          </w:tcPr>
          <w:p w:rsidR="00D37325" w:rsidRDefault="00D37325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438" w:type="dxa"/>
          </w:tcPr>
          <w:p w:rsidR="00D37325" w:rsidRDefault="00D37325">
            <w:pPr>
              <w:pStyle w:val="ConsPlusNormal"/>
            </w:pPr>
            <w:r>
              <w:t>Уровень критичности системы</w:t>
            </w:r>
          </w:p>
        </w:tc>
        <w:tc>
          <w:tcPr>
            <w:tcW w:w="3458" w:type="dxa"/>
          </w:tcPr>
          <w:p w:rsidR="00D37325" w:rsidRDefault="00D37325">
            <w:pPr>
              <w:pStyle w:val="ConsPlusNormal"/>
              <w:jc w:val="center"/>
            </w:pPr>
            <w:r>
              <w:t>Для заполнения</w:t>
            </w:r>
          </w:p>
        </w:tc>
        <w:tc>
          <w:tcPr>
            <w:tcW w:w="2665" w:type="dxa"/>
          </w:tcPr>
          <w:p w:rsidR="00D37325" w:rsidRDefault="00D37325">
            <w:pPr>
              <w:pStyle w:val="ConsPlusNormal"/>
              <w:jc w:val="center"/>
            </w:pPr>
            <w:r>
              <w:t>Для заполнения</w:t>
            </w:r>
          </w:p>
        </w:tc>
      </w:tr>
      <w:tr w:rsidR="00D37325">
        <w:tc>
          <w:tcPr>
            <w:tcW w:w="510" w:type="dxa"/>
          </w:tcPr>
          <w:p w:rsidR="00D37325" w:rsidRDefault="00D373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38" w:type="dxa"/>
          </w:tcPr>
          <w:p w:rsidR="00D37325" w:rsidRDefault="00D37325">
            <w:pPr>
              <w:pStyle w:val="ConsPlusNormal"/>
            </w:pPr>
            <w:r>
              <w:t>Перечень систем - источников данных</w:t>
            </w:r>
          </w:p>
        </w:tc>
        <w:tc>
          <w:tcPr>
            <w:tcW w:w="3458" w:type="dxa"/>
          </w:tcPr>
          <w:p w:rsidR="00D37325" w:rsidRDefault="00D37325">
            <w:pPr>
              <w:pStyle w:val="ConsPlusNormal"/>
              <w:jc w:val="center"/>
            </w:pPr>
            <w:r>
              <w:t>Для заполнения</w:t>
            </w:r>
          </w:p>
        </w:tc>
        <w:tc>
          <w:tcPr>
            <w:tcW w:w="2665" w:type="dxa"/>
          </w:tcPr>
          <w:p w:rsidR="00D37325" w:rsidRDefault="00D37325">
            <w:pPr>
              <w:pStyle w:val="ConsPlusNormal"/>
              <w:jc w:val="center"/>
            </w:pPr>
            <w:r>
              <w:t>Для заполнения</w:t>
            </w:r>
          </w:p>
        </w:tc>
      </w:tr>
      <w:tr w:rsidR="00D37325">
        <w:tc>
          <w:tcPr>
            <w:tcW w:w="510" w:type="dxa"/>
          </w:tcPr>
          <w:p w:rsidR="00D37325" w:rsidRDefault="00D373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38" w:type="dxa"/>
          </w:tcPr>
          <w:p w:rsidR="00D37325" w:rsidRDefault="00D37325">
            <w:pPr>
              <w:pStyle w:val="ConsPlusNormal"/>
            </w:pPr>
            <w:r>
              <w:t>Перечень систем - получателей данных</w:t>
            </w:r>
          </w:p>
        </w:tc>
        <w:tc>
          <w:tcPr>
            <w:tcW w:w="3458" w:type="dxa"/>
          </w:tcPr>
          <w:p w:rsidR="00D37325" w:rsidRDefault="00D37325">
            <w:pPr>
              <w:pStyle w:val="ConsPlusNormal"/>
              <w:jc w:val="center"/>
            </w:pPr>
            <w:r>
              <w:t>Для заполнения</w:t>
            </w:r>
          </w:p>
        </w:tc>
        <w:tc>
          <w:tcPr>
            <w:tcW w:w="2665" w:type="dxa"/>
          </w:tcPr>
          <w:p w:rsidR="00D37325" w:rsidRDefault="00D37325">
            <w:pPr>
              <w:pStyle w:val="ConsPlusNormal"/>
              <w:jc w:val="center"/>
            </w:pPr>
            <w:r>
              <w:t>Для заполнения</w:t>
            </w:r>
          </w:p>
        </w:tc>
      </w:tr>
      <w:tr w:rsidR="00D37325">
        <w:tc>
          <w:tcPr>
            <w:tcW w:w="510" w:type="dxa"/>
          </w:tcPr>
          <w:p w:rsidR="00D37325" w:rsidRDefault="00D373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38" w:type="dxa"/>
          </w:tcPr>
          <w:p w:rsidR="00D37325" w:rsidRDefault="00D37325">
            <w:pPr>
              <w:pStyle w:val="ConsPlusNormal"/>
            </w:pPr>
            <w:r>
              <w:t>Наименование ИТ-продукта</w:t>
            </w:r>
          </w:p>
        </w:tc>
        <w:tc>
          <w:tcPr>
            <w:tcW w:w="3458" w:type="dxa"/>
          </w:tcPr>
          <w:p w:rsidR="00D37325" w:rsidRDefault="00D37325">
            <w:pPr>
              <w:pStyle w:val="ConsPlusNormal"/>
              <w:jc w:val="center"/>
            </w:pPr>
            <w:r>
              <w:t>Для заполнения</w:t>
            </w:r>
          </w:p>
        </w:tc>
        <w:tc>
          <w:tcPr>
            <w:tcW w:w="2665" w:type="dxa"/>
          </w:tcPr>
          <w:p w:rsidR="00D37325" w:rsidRDefault="00D37325">
            <w:pPr>
              <w:pStyle w:val="ConsPlusNormal"/>
              <w:jc w:val="center"/>
            </w:pPr>
            <w:r>
              <w:t>Для заполнения</w:t>
            </w:r>
          </w:p>
        </w:tc>
      </w:tr>
      <w:tr w:rsidR="00D37325">
        <w:tc>
          <w:tcPr>
            <w:tcW w:w="510" w:type="dxa"/>
          </w:tcPr>
          <w:p w:rsidR="00D37325" w:rsidRDefault="00D373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38" w:type="dxa"/>
          </w:tcPr>
          <w:p w:rsidR="00D37325" w:rsidRDefault="00D37325">
            <w:pPr>
              <w:pStyle w:val="ConsPlusNormal"/>
            </w:pPr>
            <w:r>
              <w:t>Принадлежность</w:t>
            </w:r>
          </w:p>
        </w:tc>
        <w:tc>
          <w:tcPr>
            <w:tcW w:w="3458" w:type="dxa"/>
          </w:tcPr>
          <w:p w:rsidR="00D37325" w:rsidRDefault="00D37325">
            <w:pPr>
              <w:pStyle w:val="ConsPlusNormal"/>
              <w:jc w:val="center"/>
            </w:pPr>
            <w:r>
              <w:t>Для заполнения</w:t>
            </w:r>
          </w:p>
        </w:tc>
        <w:tc>
          <w:tcPr>
            <w:tcW w:w="2665" w:type="dxa"/>
          </w:tcPr>
          <w:p w:rsidR="00D37325" w:rsidRDefault="00D37325">
            <w:pPr>
              <w:pStyle w:val="ConsPlusNormal"/>
              <w:jc w:val="center"/>
            </w:pPr>
            <w:r>
              <w:t>Для заполнения</w:t>
            </w:r>
          </w:p>
        </w:tc>
      </w:tr>
      <w:tr w:rsidR="00D37325">
        <w:tc>
          <w:tcPr>
            <w:tcW w:w="510" w:type="dxa"/>
          </w:tcPr>
          <w:p w:rsidR="00D37325" w:rsidRDefault="00D3732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38" w:type="dxa"/>
          </w:tcPr>
          <w:p w:rsidR="00D37325" w:rsidRDefault="00D37325">
            <w:pPr>
              <w:pStyle w:val="ConsPlusNormal"/>
            </w:pPr>
            <w:r>
              <w:t>Резервная инфраструктура</w:t>
            </w:r>
          </w:p>
        </w:tc>
        <w:tc>
          <w:tcPr>
            <w:tcW w:w="3458" w:type="dxa"/>
          </w:tcPr>
          <w:p w:rsidR="00D37325" w:rsidRDefault="00D37325">
            <w:pPr>
              <w:pStyle w:val="ConsPlusNormal"/>
              <w:jc w:val="center"/>
            </w:pPr>
            <w:r>
              <w:t>Для заполнения</w:t>
            </w:r>
          </w:p>
        </w:tc>
        <w:tc>
          <w:tcPr>
            <w:tcW w:w="2665" w:type="dxa"/>
          </w:tcPr>
          <w:p w:rsidR="00D37325" w:rsidRDefault="00D37325">
            <w:pPr>
              <w:pStyle w:val="ConsPlusNormal"/>
              <w:jc w:val="center"/>
            </w:pPr>
            <w:r>
              <w:t>Необязательный атрибут для заполнения</w:t>
            </w:r>
          </w:p>
        </w:tc>
      </w:tr>
      <w:tr w:rsidR="00D37325">
        <w:tc>
          <w:tcPr>
            <w:tcW w:w="510" w:type="dxa"/>
          </w:tcPr>
          <w:p w:rsidR="00D37325" w:rsidRDefault="00D3732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438" w:type="dxa"/>
          </w:tcPr>
          <w:p w:rsidR="00D37325" w:rsidRDefault="00D37325">
            <w:pPr>
              <w:pStyle w:val="ConsPlusNormal"/>
            </w:pPr>
            <w:r>
              <w:t>Разработчик ИТ-продукта</w:t>
            </w:r>
          </w:p>
        </w:tc>
        <w:tc>
          <w:tcPr>
            <w:tcW w:w="3458" w:type="dxa"/>
          </w:tcPr>
          <w:p w:rsidR="00D37325" w:rsidRDefault="00D37325">
            <w:pPr>
              <w:pStyle w:val="ConsPlusNormal"/>
              <w:jc w:val="center"/>
            </w:pPr>
            <w:r>
              <w:t>Для заполнения</w:t>
            </w:r>
          </w:p>
        </w:tc>
        <w:tc>
          <w:tcPr>
            <w:tcW w:w="2665" w:type="dxa"/>
          </w:tcPr>
          <w:p w:rsidR="00D37325" w:rsidRDefault="00D37325">
            <w:pPr>
              <w:pStyle w:val="ConsPlusNormal"/>
              <w:jc w:val="center"/>
            </w:pPr>
            <w:r>
              <w:t>Для заполнения</w:t>
            </w:r>
          </w:p>
        </w:tc>
      </w:tr>
      <w:tr w:rsidR="00D37325">
        <w:tc>
          <w:tcPr>
            <w:tcW w:w="510" w:type="dxa"/>
          </w:tcPr>
          <w:p w:rsidR="00D37325" w:rsidRDefault="00D3732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438" w:type="dxa"/>
          </w:tcPr>
          <w:p w:rsidR="00D37325" w:rsidRDefault="00D37325">
            <w:pPr>
              <w:pStyle w:val="ConsPlusNormal"/>
            </w:pPr>
            <w:r>
              <w:t>Модификация</w:t>
            </w:r>
          </w:p>
        </w:tc>
        <w:tc>
          <w:tcPr>
            <w:tcW w:w="3458" w:type="dxa"/>
          </w:tcPr>
          <w:p w:rsidR="00D37325" w:rsidRDefault="00D37325">
            <w:pPr>
              <w:pStyle w:val="ConsPlusNormal"/>
              <w:jc w:val="center"/>
            </w:pPr>
            <w:r>
              <w:t>Для заполнения</w:t>
            </w:r>
          </w:p>
        </w:tc>
        <w:tc>
          <w:tcPr>
            <w:tcW w:w="2665" w:type="dxa"/>
          </w:tcPr>
          <w:p w:rsidR="00D37325" w:rsidRDefault="00D37325">
            <w:pPr>
              <w:pStyle w:val="ConsPlusNormal"/>
              <w:jc w:val="center"/>
            </w:pPr>
            <w:r>
              <w:t>Необязательный атрибут для заполнения</w:t>
            </w:r>
          </w:p>
        </w:tc>
      </w:tr>
      <w:tr w:rsidR="00D37325">
        <w:tc>
          <w:tcPr>
            <w:tcW w:w="510" w:type="dxa"/>
          </w:tcPr>
          <w:p w:rsidR="00D37325" w:rsidRDefault="00D3732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38" w:type="dxa"/>
          </w:tcPr>
          <w:p w:rsidR="00D37325" w:rsidRDefault="00D37325">
            <w:pPr>
              <w:pStyle w:val="ConsPlusNormal"/>
            </w:pPr>
            <w:r>
              <w:t>Класс оборудования</w:t>
            </w:r>
          </w:p>
        </w:tc>
        <w:tc>
          <w:tcPr>
            <w:tcW w:w="3458" w:type="dxa"/>
          </w:tcPr>
          <w:p w:rsidR="00D37325" w:rsidRDefault="00D37325">
            <w:pPr>
              <w:pStyle w:val="ConsPlusNormal"/>
              <w:jc w:val="center"/>
            </w:pPr>
            <w:r>
              <w:t>Для заполнения</w:t>
            </w:r>
          </w:p>
        </w:tc>
        <w:tc>
          <w:tcPr>
            <w:tcW w:w="2665" w:type="dxa"/>
          </w:tcPr>
          <w:p w:rsidR="00D37325" w:rsidRDefault="00D37325">
            <w:pPr>
              <w:pStyle w:val="ConsPlusNormal"/>
              <w:jc w:val="center"/>
            </w:pPr>
            <w:r>
              <w:t>Для заполнения</w:t>
            </w:r>
          </w:p>
        </w:tc>
      </w:tr>
      <w:tr w:rsidR="00D37325">
        <w:tc>
          <w:tcPr>
            <w:tcW w:w="510" w:type="dxa"/>
          </w:tcPr>
          <w:p w:rsidR="00D37325" w:rsidRDefault="00D3732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438" w:type="dxa"/>
          </w:tcPr>
          <w:p w:rsidR="00D37325" w:rsidRDefault="00D37325">
            <w:pPr>
              <w:pStyle w:val="ConsPlusNormal"/>
            </w:pPr>
            <w:r>
              <w:t>Класс программного обеспечения</w:t>
            </w:r>
          </w:p>
        </w:tc>
        <w:tc>
          <w:tcPr>
            <w:tcW w:w="3458" w:type="dxa"/>
          </w:tcPr>
          <w:p w:rsidR="00D37325" w:rsidRDefault="00D37325">
            <w:pPr>
              <w:pStyle w:val="ConsPlusNormal"/>
              <w:jc w:val="center"/>
            </w:pPr>
            <w:r>
              <w:t>Для заполнения</w:t>
            </w:r>
          </w:p>
        </w:tc>
        <w:tc>
          <w:tcPr>
            <w:tcW w:w="2665" w:type="dxa"/>
          </w:tcPr>
          <w:p w:rsidR="00D37325" w:rsidRDefault="00D37325">
            <w:pPr>
              <w:pStyle w:val="ConsPlusNormal"/>
              <w:jc w:val="center"/>
            </w:pPr>
            <w:r>
              <w:t>Для заполнения</w:t>
            </w:r>
          </w:p>
        </w:tc>
      </w:tr>
      <w:tr w:rsidR="00D37325">
        <w:tc>
          <w:tcPr>
            <w:tcW w:w="510" w:type="dxa"/>
          </w:tcPr>
          <w:p w:rsidR="00D37325" w:rsidRDefault="00D3732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438" w:type="dxa"/>
          </w:tcPr>
          <w:p w:rsidR="00D37325" w:rsidRDefault="00D37325">
            <w:pPr>
              <w:pStyle w:val="ConsPlusNormal"/>
            </w:pPr>
            <w:r>
              <w:t>Страна</w:t>
            </w:r>
          </w:p>
        </w:tc>
        <w:tc>
          <w:tcPr>
            <w:tcW w:w="3458" w:type="dxa"/>
          </w:tcPr>
          <w:p w:rsidR="00D37325" w:rsidRDefault="00D37325">
            <w:pPr>
              <w:pStyle w:val="ConsPlusNormal"/>
              <w:jc w:val="center"/>
            </w:pPr>
            <w:r>
              <w:t>Для заполнения</w:t>
            </w:r>
          </w:p>
        </w:tc>
        <w:tc>
          <w:tcPr>
            <w:tcW w:w="2665" w:type="dxa"/>
          </w:tcPr>
          <w:p w:rsidR="00D37325" w:rsidRDefault="00D37325">
            <w:pPr>
              <w:pStyle w:val="ConsPlusNormal"/>
              <w:jc w:val="center"/>
            </w:pPr>
            <w:r>
              <w:t>Необязательный атрибут для заполнения</w:t>
            </w:r>
          </w:p>
        </w:tc>
      </w:tr>
      <w:tr w:rsidR="00D37325">
        <w:tc>
          <w:tcPr>
            <w:tcW w:w="510" w:type="dxa"/>
          </w:tcPr>
          <w:p w:rsidR="00D37325" w:rsidRDefault="00D3732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438" w:type="dxa"/>
          </w:tcPr>
          <w:p w:rsidR="00D37325" w:rsidRDefault="00D37325">
            <w:pPr>
              <w:pStyle w:val="ConsPlusNormal"/>
            </w:pPr>
            <w:r>
              <w:t>Наименование лицензии</w:t>
            </w:r>
          </w:p>
        </w:tc>
        <w:tc>
          <w:tcPr>
            <w:tcW w:w="3458" w:type="dxa"/>
          </w:tcPr>
          <w:p w:rsidR="00D37325" w:rsidRDefault="00D37325">
            <w:pPr>
              <w:pStyle w:val="ConsPlusNormal"/>
              <w:jc w:val="center"/>
            </w:pPr>
            <w:r>
              <w:t>Для заполнения</w:t>
            </w:r>
          </w:p>
        </w:tc>
        <w:tc>
          <w:tcPr>
            <w:tcW w:w="2665" w:type="dxa"/>
          </w:tcPr>
          <w:p w:rsidR="00D37325" w:rsidRDefault="00D37325">
            <w:pPr>
              <w:pStyle w:val="ConsPlusNormal"/>
              <w:jc w:val="center"/>
            </w:pPr>
            <w:r>
              <w:t>Необязательный атрибут для заполнения</w:t>
            </w:r>
          </w:p>
        </w:tc>
      </w:tr>
      <w:tr w:rsidR="00D37325">
        <w:tc>
          <w:tcPr>
            <w:tcW w:w="510" w:type="dxa"/>
          </w:tcPr>
          <w:p w:rsidR="00D37325" w:rsidRDefault="00D3732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438" w:type="dxa"/>
          </w:tcPr>
          <w:p w:rsidR="00D37325" w:rsidRDefault="00D37325">
            <w:pPr>
              <w:pStyle w:val="ConsPlusNormal"/>
            </w:pPr>
            <w:r>
              <w:t>Тип лицензии</w:t>
            </w:r>
          </w:p>
        </w:tc>
        <w:tc>
          <w:tcPr>
            <w:tcW w:w="3458" w:type="dxa"/>
          </w:tcPr>
          <w:p w:rsidR="00D37325" w:rsidRDefault="00D37325">
            <w:pPr>
              <w:pStyle w:val="ConsPlusNormal"/>
              <w:jc w:val="center"/>
            </w:pPr>
            <w:r>
              <w:t>Для заполнения</w:t>
            </w:r>
          </w:p>
        </w:tc>
        <w:tc>
          <w:tcPr>
            <w:tcW w:w="2665" w:type="dxa"/>
          </w:tcPr>
          <w:p w:rsidR="00D37325" w:rsidRDefault="00D37325">
            <w:pPr>
              <w:pStyle w:val="ConsPlusNormal"/>
              <w:jc w:val="center"/>
            </w:pPr>
            <w:r>
              <w:t>Необязательный атрибут для заполнения</w:t>
            </w:r>
          </w:p>
        </w:tc>
      </w:tr>
      <w:tr w:rsidR="00D37325">
        <w:tc>
          <w:tcPr>
            <w:tcW w:w="510" w:type="dxa"/>
          </w:tcPr>
          <w:p w:rsidR="00D37325" w:rsidRDefault="00D3732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38" w:type="dxa"/>
          </w:tcPr>
          <w:p w:rsidR="00D37325" w:rsidRDefault="00D37325">
            <w:pPr>
              <w:pStyle w:val="ConsPlusNormal"/>
            </w:pPr>
            <w:r>
              <w:t>Архитектура</w:t>
            </w:r>
          </w:p>
        </w:tc>
        <w:tc>
          <w:tcPr>
            <w:tcW w:w="3458" w:type="dxa"/>
          </w:tcPr>
          <w:p w:rsidR="00D37325" w:rsidRDefault="00D37325">
            <w:pPr>
              <w:pStyle w:val="ConsPlusNormal"/>
              <w:jc w:val="center"/>
            </w:pPr>
            <w:r>
              <w:t>Для заполнения</w:t>
            </w:r>
          </w:p>
        </w:tc>
        <w:tc>
          <w:tcPr>
            <w:tcW w:w="2665" w:type="dxa"/>
          </w:tcPr>
          <w:p w:rsidR="00D37325" w:rsidRDefault="00D37325">
            <w:pPr>
              <w:pStyle w:val="ConsPlusNormal"/>
              <w:jc w:val="center"/>
            </w:pPr>
            <w:r>
              <w:t>Необязательный атрибут для заполнения</w:t>
            </w:r>
          </w:p>
        </w:tc>
      </w:tr>
      <w:tr w:rsidR="00D37325">
        <w:tc>
          <w:tcPr>
            <w:tcW w:w="510" w:type="dxa"/>
          </w:tcPr>
          <w:p w:rsidR="00D37325" w:rsidRDefault="00D3732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438" w:type="dxa"/>
          </w:tcPr>
          <w:p w:rsidR="00D37325" w:rsidRDefault="00D37325">
            <w:pPr>
              <w:pStyle w:val="ConsPlusNormal"/>
            </w:pPr>
            <w:r>
              <w:t>Количество</w:t>
            </w:r>
          </w:p>
        </w:tc>
        <w:tc>
          <w:tcPr>
            <w:tcW w:w="3458" w:type="dxa"/>
          </w:tcPr>
          <w:p w:rsidR="00D37325" w:rsidRDefault="00D37325">
            <w:pPr>
              <w:pStyle w:val="ConsPlusNormal"/>
              <w:jc w:val="center"/>
            </w:pPr>
            <w:r>
              <w:t>Для заполнения</w:t>
            </w:r>
          </w:p>
        </w:tc>
        <w:tc>
          <w:tcPr>
            <w:tcW w:w="2665" w:type="dxa"/>
          </w:tcPr>
          <w:p w:rsidR="00D37325" w:rsidRDefault="00D37325">
            <w:pPr>
              <w:pStyle w:val="ConsPlusNormal"/>
              <w:jc w:val="center"/>
            </w:pPr>
            <w:r>
              <w:t>Необязательный атрибут для заполнения</w:t>
            </w:r>
          </w:p>
        </w:tc>
      </w:tr>
      <w:tr w:rsidR="00D37325">
        <w:tc>
          <w:tcPr>
            <w:tcW w:w="510" w:type="dxa"/>
          </w:tcPr>
          <w:p w:rsidR="00D37325" w:rsidRDefault="00D3732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438" w:type="dxa"/>
          </w:tcPr>
          <w:p w:rsidR="00D37325" w:rsidRDefault="00D37325">
            <w:pPr>
              <w:pStyle w:val="ConsPlusNormal"/>
            </w:pPr>
            <w:r>
              <w:t>Закупка</w:t>
            </w:r>
          </w:p>
        </w:tc>
        <w:tc>
          <w:tcPr>
            <w:tcW w:w="3458" w:type="dxa"/>
          </w:tcPr>
          <w:p w:rsidR="00D37325" w:rsidRDefault="00D37325">
            <w:pPr>
              <w:pStyle w:val="ConsPlusNormal"/>
              <w:jc w:val="center"/>
            </w:pPr>
            <w:r>
              <w:t>Для заполнения</w:t>
            </w:r>
          </w:p>
        </w:tc>
        <w:tc>
          <w:tcPr>
            <w:tcW w:w="2665" w:type="dxa"/>
          </w:tcPr>
          <w:p w:rsidR="00D37325" w:rsidRDefault="00D37325">
            <w:pPr>
              <w:pStyle w:val="ConsPlusNormal"/>
              <w:jc w:val="center"/>
            </w:pPr>
            <w:r>
              <w:t>Необязательный атрибут для заполнения</w:t>
            </w:r>
          </w:p>
        </w:tc>
      </w:tr>
      <w:tr w:rsidR="00D37325">
        <w:tc>
          <w:tcPr>
            <w:tcW w:w="510" w:type="dxa"/>
          </w:tcPr>
          <w:p w:rsidR="00D37325" w:rsidRDefault="00D3732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438" w:type="dxa"/>
          </w:tcPr>
          <w:p w:rsidR="00D37325" w:rsidRDefault="00D37325">
            <w:pPr>
              <w:pStyle w:val="ConsPlusNormal"/>
            </w:pPr>
            <w:r>
              <w:t>Техническая поддержка</w:t>
            </w:r>
          </w:p>
        </w:tc>
        <w:tc>
          <w:tcPr>
            <w:tcW w:w="3458" w:type="dxa"/>
          </w:tcPr>
          <w:p w:rsidR="00D37325" w:rsidRDefault="00D37325">
            <w:pPr>
              <w:pStyle w:val="ConsPlusNormal"/>
              <w:jc w:val="center"/>
            </w:pPr>
            <w:r>
              <w:t>Для заполнения</w:t>
            </w:r>
          </w:p>
        </w:tc>
        <w:tc>
          <w:tcPr>
            <w:tcW w:w="2665" w:type="dxa"/>
          </w:tcPr>
          <w:p w:rsidR="00D37325" w:rsidRDefault="00D37325">
            <w:pPr>
              <w:pStyle w:val="ConsPlusNormal"/>
              <w:jc w:val="center"/>
            </w:pPr>
            <w:r>
              <w:t>Необязательный атрибут для заполнения</w:t>
            </w:r>
          </w:p>
        </w:tc>
      </w:tr>
      <w:tr w:rsidR="00D37325">
        <w:tc>
          <w:tcPr>
            <w:tcW w:w="510" w:type="dxa"/>
          </w:tcPr>
          <w:p w:rsidR="00D37325" w:rsidRDefault="00D3732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438" w:type="dxa"/>
          </w:tcPr>
          <w:p w:rsidR="00D37325" w:rsidRDefault="00D37325">
            <w:pPr>
              <w:pStyle w:val="ConsPlusNormal"/>
            </w:pPr>
            <w:r>
              <w:t>Автономность</w:t>
            </w:r>
          </w:p>
        </w:tc>
        <w:tc>
          <w:tcPr>
            <w:tcW w:w="3458" w:type="dxa"/>
          </w:tcPr>
          <w:p w:rsidR="00D37325" w:rsidRDefault="00D37325">
            <w:pPr>
              <w:pStyle w:val="ConsPlusNormal"/>
              <w:jc w:val="center"/>
            </w:pPr>
            <w:r>
              <w:t>Для заполнения</w:t>
            </w:r>
          </w:p>
        </w:tc>
        <w:tc>
          <w:tcPr>
            <w:tcW w:w="2665" w:type="dxa"/>
          </w:tcPr>
          <w:p w:rsidR="00D37325" w:rsidRDefault="00D37325">
            <w:pPr>
              <w:pStyle w:val="ConsPlusNormal"/>
              <w:jc w:val="center"/>
            </w:pPr>
            <w:r>
              <w:t>Необязательный атрибут для заполнения</w:t>
            </w:r>
          </w:p>
        </w:tc>
      </w:tr>
      <w:tr w:rsidR="00D37325">
        <w:tc>
          <w:tcPr>
            <w:tcW w:w="510" w:type="dxa"/>
          </w:tcPr>
          <w:p w:rsidR="00D37325" w:rsidRDefault="00D3732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438" w:type="dxa"/>
          </w:tcPr>
          <w:p w:rsidR="00D37325" w:rsidRDefault="00D37325">
            <w:pPr>
              <w:pStyle w:val="ConsPlusNormal"/>
            </w:pPr>
            <w:r>
              <w:t>Обновление</w:t>
            </w:r>
          </w:p>
        </w:tc>
        <w:tc>
          <w:tcPr>
            <w:tcW w:w="3458" w:type="dxa"/>
          </w:tcPr>
          <w:p w:rsidR="00D37325" w:rsidRDefault="00D37325">
            <w:pPr>
              <w:pStyle w:val="ConsPlusNormal"/>
              <w:jc w:val="center"/>
            </w:pPr>
            <w:r>
              <w:t>Для заполнения</w:t>
            </w:r>
          </w:p>
        </w:tc>
        <w:tc>
          <w:tcPr>
            <w:tcW w:w="2665" w:type="dxa"/>
          </w:tcPr>
          <w:p w:rsidR="00D37325" w:rsidRDefault="00D37325">
            <w:pPr>
              <w:pStyle w:val="ConsPlusNormal"/>
              <w:jc w:val="center"/>
            </w:pPr>
            <w:r>
              <w:t>Необязательный атрибут для заполнения</w:t>
            </w:r>
          </w:p>
        </w:tc>
      </w:tr>
      <w:tr w:rsidR="00D37325">
        <w:tc>
          <w:tcPr>
            <w:tcW w:w="510" w:type="dxa"/>
          </w:tcPr>
          <w:p w:rsidR="00D37325" w:rsidRDefault="00D3732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438" w:type="dxa"/>
          </w:tcPr>
          <w:p w:rsidR="00D37325" w:rsidRDefault="00D37325">
            <w:pPr>
              <w:pStyle w:val="ConsPlusNormal"/>
            </w:pPr>
            <w:r>
              <w:t>Уязвимости</w:t>
            </w:r>
          </w:p>
        </w:tc>
        <w:tc>
          <w:tcPr>
            <w:tcW w:w="3458" w:type="dxa"/>
          </w:tcPr>
          <w:p w:rsidR="00D37325" w:rsidRDefault="00D37325">
            <w:pPr>
              <w:pStyle w:val="ConsPlusNormal"/>
              <w:jc w:val="center"/>
            </w:pPr>
            <w:r>
              <w:t>Для заполнения</w:t>
            </w:r>
          </w:p>
        </w:tc>
        <w:tc>
          <w:tcPr>
            <w:tcW w:w="2665" w:type="dxa"/>
          </w:tcPr>
          <w:p w:rsidR="00D37325" w:rsidRDefault="00D37325">
            <w:pPr>
              <w:pStyle w:val="ConsPlusNormal"/>
              <w:jc w:val="center"/>
            </w:pPr>
            <w:r>
              <w:t>Необязательный атрибут для заполнения</w:t>
            </w:r>
          </w:p>
        </w:tc>
      </w:tr>
      <w:tr w:rsidR="00D37325">
        <w:tc>
          <w:tcPr>
            <w:tcW w:w="510" w:type="dxa"/>
          </w:tcPr>
          <w:p w:rsidR="00D37325" w:rsidRDefault="00D37325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2438" w:type="dxa"/>
          </w:tcPr>
          <w:p w:rsidR="00D37325" w:rsidRDefault="00D37325">
            <w:pPr>
              <w:pStyle w:val="ConsPlusNormal"/>
            </w:pPr>
            <w:r>
              <w:t>Управление</w:t>
            </w:r>
          </w:p>
        </w:tc>
        <w:tc>
          <w:tcPr>
            <w:tcW w:w="3458" w:type="dxa"/>
          </w:tcPr>
          <w:p w:rsidR="00D37325" w:rsidRDefault="00D37325">
            <w:pPr>
              <w:pStyle w:val="ConsPlusNormal"/>
              <w:jc w:val="center"/>
            </w:pPr>
            <w:r>
              <w:t>Для заполнения</w:t>
            </w:r>
          </w:p>
        </w:tc>
        <w:tc>
          <w:tcPr>
            <w:tcW w:w="2665" w:type="dxa"/>
          </w:tcPr>
          <w:p w:rsidR="00D37325" w:rsidRDefault="00D37325">
            <w:pPr>
              <w:pStyle w:val="ConsPlusNormal"/>
              <w:jc w:val="center"/>
            </w:pPr>
            <w:r>
              <w:t>Необязательный атрибут для заполнения</w:t>
            </w:r>
          </w:p>
        </w:tc>
      </w:tr>
      <w:tr w:rsidR="00D37325">
        <w:tc>
          <w:tcPr>
            <w:tcW w:w="510" w:type="dxa"/>
          </w:tcPr>
          <w:p w:rsidR="00D37325" w:rsidRDefault="00D3732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438" w:type="dxa"/>
          </w:tcPr>
          <w:p w:rsidR="00D37325" w:rsidRDefault="00D37325">
            <w:pPr>
              <w:pStyle w:val="ConsPlusNormal"/>
            </w:pPr>
            <w:r>
              <w:t>Наличие сертификата ФСТЭК России</w:t>
            </w:r>
          </w:p>
        </w:tc>
        <w:tc>
          <w:tcPr>
            <w:tcW w:w="3458" w:type="dxa"/>
          </w:tcPr>
          <w:p w:rsidR="00D37325" w:rsidRDefault="00D37325">
            <w:pPr>
              <w:pStyle w:val="ConsPlusNormal"/>
              <w:jc w:val="center"/>
            </w:pPr>
            <w:r>
              <w:t>Для заполнения</w:t>
            </w:r>
          </w:p>
        </w:tc>
        <w:tc>
          <w:tcPr>
            <w:tcW w:w="2665" w:type="dxa"/>
          </w:tcPr>
          <w:p w:rsidR="00D37325" w:rsidRDefault="00D37325">
            <w:pPr>
              <w:pStyle w:val="ConsPlusNormal"/>
              <w:jc w:val="center"/>
            </w:pPr>
            <w:r>
              <w:t>Необязательный атрибут для заполнения</w:t>
            </w:r>
          </w:p>
        </w:tc>
      </w:tr>
      <w:tr w:rsidR="00D37325">
        <w:tc>
          <w:tcPr>
            <w:tcW w:w="510" w:type="dxa"/>
          </w:tcPr>
          <w:p w:rsidR="00D37325" w:rsidRDefault="00D3732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438" w:type="dxa"/>
          </w:tcPr>
          <w:p w:rsidR="00D37325" w:rsidRDefault="00D37325">
            <w:pPr>
              <w:pStyle w:val="ConsPlusNormal"/>
            </w:pPr>
            <w:r>
              <w:t>Номер сертификата ФСТЭК России</w:t>
            </w:r>
          </w:p>
        </w:tc>
        <w:tc>
          <w:tcPr>
            <w:tcW w:w="3458" w:type="dxa"/>
          </w:tcPr>
          <w:p w:rsidR="00D37325" w:rsidRDefault="00D37325">
            <w:pPr>
              <w:pStyle w:val="ConsPlusNormal"/>
              <w:jc w:val="center"/>
            </w:pPr>
            <w:r>
              <w:t>Для заполнения</w:t>
            </w:r>
          </w:p>
        </w:tc>
        <w:tc>
          <w:tcPr>
            <w:tcW w:w="2665" w:type="dxa"/>
          </w:tcPr>
          <w:p w:rsidR="00D37325" w:rsidRDefault="00D37325">
            <w:pPr>
              <w:pStyle w:val="ConsPlusNormal"/>
              <w:jc w:val="center"/>
            </w:pPr>
            <w:r>
              <w:t>Необязательный атрибут для заполнения</w:t>
            </w:r>
          </w:p>
        </w:tc>
      </w:tr>
      <w:tr w:rsidR="00D37325">
        <w:tc>
          <w:tcPr>
            <w:tcW w:w="510" w:type="dxa"/>
          </w:tcPr>
          <w:p w:rsidR="00D37325" w:rsidRDefault="00D3732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438" w:type="dxa"/>
          </w:tcPr>
          <w:p w:rsidR="00D37325" w:rsidRDefault="00D37325">
            <w:pPr>
              <w:pStyle w:val="ConsPlusNormal"/>
            </w:pPr>
            <w:r>
              <w:t>Наличие сертификата ФСБ России</w:t>
            </w:r>
          </w:p>
        </w:tc>
        <w:tc>
          <w:tcPr>
            <w:tcW w:w="3458" w:type="dxa"/>
          </w:tcPr>
          <w:p w:rsidR="00D37325" w:rsidRDefault="00D37325">
            <w:pPr>
              <w:pStyle w:val="ConsPlusNormal"/>
              <w:jc w:val="center"/>
            </w:pPr>
            <w:r>
              <w:t>Для заполнения</w:t>
            </w:r>
          </w:p>
        </w:tc>
        <w:tc>
          <w:tcPr>
            <w:tcW w:w="2665" w:type="dxa"/>
          </w:tcPr>
          <w:p w:rsidR="00D37325" w:rsidRDefault="00D37325">
            <w:pPr>
              <w:pStyle w:val="ConsPlusNormal"/>
              <w:jc w:val="center"/>
            </w:pPr>
            <w:r>
              <w:t>Необязательный атрибут для заполнения</w:t>
            </w:r>
          </w:p>
        </w:tc>
      </w:tr>
      <w:tr w:rsidR="00D37325">
        <w:tc>
          <w:tcPr>
            <w:tcW w:w="510" w:type="dxa"/>
          </w:tcPr>
          <w:p w:rsidR="00D37325" w:rsidRDefault="00D3732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438" w:type="dxa"/>
          </w:tcPr>
          <w:p w:rsidR="00D37325" w:rsidRDefault="00D37325">
            <w:pPr>
              <w:pStyle w:val="ConsPlusNormal"/>
            </w:pPr>
            <w:r>
              <w:t>Номер сертификата ФСБ России</w:t>
            </w:r>
          </w:p>
        </w:tc>
        <w:tc>
          <w:tcPr>
            <w:tcW w:w="3458" w:type="dxa"/>
          </w:tcPr>
          <w:p w:rsidR="00D37325" w:rsidRDefault="00D37325">
            <w:pPr>
              <w:pStyle w:val="ConsPlusNormal"/>
              <w:jc w:val="center"/>
            </w:pPr>
            <w:r>
              <w:t>Для заполнения</w:t>
            </w:r>
          </w:p>
        </w:tc>
        <w:tc>
          <w:tcPr>
            <w:tcW w:w="2665" w:type="dxa"/>
          </w:tcPr>
          <w:p w:rsidR="00D37325" w:rsidRDefault="00D37325">
            <w:pPr>
              <w:pStyle w:val="ConsPlusNormal"/>
              <w:jc w:val="center"/>
            </w:pPr>
            <w:r>
              <w:t>Необязательный атрибут для заполнения</w:t>
            </w:r>
          </w:p>
        </w:tc>
      </w:tr>
      <w:tr w:rsidR="00D37325">
        <w:tc>
          <w:tcPr>
            <w:tcW w:w="510" w:type="dxa"/>
          </w:tcPr>
          <w:p w:rsidR="00D37325" w:rsidRDefault="00D3732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438" w:type="dxa"/>
          </w:tcPr>
          <w:p w:rsidR="00D37325" w:rsidRDefault="00D37325">
            <w:pPr>
              <w:pStyle w:val="ConsPlusNormal"/>
            </w:pPr>
            <w:r>
              <w:t>Номер в реестре Минцифры России</w:t>
            </w:r>
          </w:p>
        </w:tc>
        <w:tc>
          <w:tcPr>
            <w:tcW w:w="3458" w:type="dxa"/>
          </w:tcPr>
          <w:p w:rsidR="00D37325" w:rsidRDefault="00D37325">
            <w:pPr>
              <w:pStyle w:val="ConsPlusNormal"/>
              <w:jc w:val="center"/>
            </w:pPr>
            <w:r>
              <w:t>Для заполнения</w:t>
            </w:r>
          </w:p>
        </w:tc>
        <w:tc>
          <w:tcPr>
            <w:tcW w:w="2665" w:type="dxa"/>
          </w:tcPr>
          <w:p w:rsidR="00D37325" w:rsidRDefault="00D37325">
            <w:pPr>
              <w:pStyle w:val="ConsPlusNormal"/>
              <w:jc w:val="center"/>
            </w:pPr>
            <w:r>
              <w:t>Необязательный атрибут для заполнения</w:t>
            </w:r>
          </w:p>
        </w:tc>
      </w:tr>
      <w:tr w:rsidR="00D37325">
        <w:tc>
          <w:tcPr>
            <w:tcW w:w="510" w:type="dxa"/>
          </w:tcPr>
          <w:p w:rsidR="00D37325" w:rsidRDefault="00D3732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438" w:type="dxa"/>
          </w:tcPr>
          <w:p w:rsidR="00D37325" w:rsidRDefault="00D37325">
            <w:pPr>
              <w:pStyle w:val="ConsPlusNormal"/>
            </w:pPr>
            <w:r>
              <w:t>Номер в реестре Минпромторга России</w:t>
            </w:r>
          </w:p>
        </w:tc>
        <w:tc>
          <w:tcPr>
            <w:tcW w:w="3458" w:type="dxa"/>
          </w:tcPr>
          <w:p w:rsidR="00D37325" w:rsidRDefault="00D37325">
            <w:pPr>
              <w:pStyle w:val="ConsPlusNormal"/>
              <w:jc w:val="center"/>
            </w:pPr>
            <w:r>
              <w:t>Для заполнения</w:t>
            </w:r>
          </w:p>
        </w:tc>
        <w:tc>
          <w:tcPr>
            <w:tcW w:w="2665" w:type="dxa"/>
          </w:tcPr>
          <w:p w:rsidR="00D37325" w:rsidRDefault="00D37325">
            <w:pPr>
              <w:pStyle w:val="ConsPlusNormal"/>
              <w:jc w:val="center"/>
            </w:pPr>
            <w:r>
              <w:t>Необязательный атрибут для заполнения</w:t>
            </w:r>
          </w:p>
        </w:tc>
      </w:tr>
      <w:tr w:rsidR="00D37325">
        <w:tc>
          <w:tcPr>
            <w:tcW w:w="510" w:type="dxa"/>
          </w:tcPr>
          <w:p w:rsidR="00D37325" w:rsidRDefault="00D3732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438" w:type="dxa"/>
          </w:tcPr>
          <w:p w:rsidR="00D37325" w:rsidRDefault="00D37325">
            <w:pPr>
              <w:pStyle w:val="ConsPlusNormal"/>
            </w:pPr>
            <w:r>
              <w:t>Дата внесения в реестр Минцифры России</w:t>
            </w:r>
          </w:p>
        </w:tc>
        <w:tc>
          <w:tcPr>
            <w:tcW w:w="3458" w:type="dxa"/>
          </w:tcPr>
          <w:p w:rsidR="00D37325" w:rsidRDefault="00D37325">
            <w:pPr>
              <w:pStyle w:val="ConsPlusNormal"/>
              <w:jc w:val="center"/>
            </w:pPr>
            <w:r>
              <w:t>Для заполнения</w:t>
            </w:r>
          </w:p>
        </w:tc>
        <w:tc>
          <w:tcPr>
            <w:tcW w:w="2665" w:type="dxa"/>
          </w:tcPr>
          <w:p w:rsidR="00D37325" w:rsidRDefault="00D37325">
            <w:pPr>
              <w:pStyle w:val="ConsPlusNormal"/>
              <w:jc w:val="center"/>
            </w:pPr>
            <w:r>
              <w:t>Необязательный атрибут для заполнения</w:t>
            </w:r>
          </w:p>
        </w:tc>
      </w:tr>
    </w:tbl>
    <w:p w:rsidR="00D37325" w:rsidRDefault="00D37325">
      <w:pPr>
        <w:pStyle w:val="ConsPlusNormal"/>
        <w:jc w:val="both"/>
      </w:pPr>
    </w:p>
    <w:p w:rsidR="00D37325" w:rsidRDefault="00D37325">
      <w:pPr>
        <w:pStyle w:val="ConsPlusNormal"/>
        <w:ind w:firstLine="540"/>
        <w:jc w:val="both"/>
      </w:pPr>
      <w:r>
        <w:t>--------------------------------</w:t>
      </w:r>
    </w:p>
    <w:p w:rsidR="00D37325" w:rsidRDefault="00D37325">
      <w:pPr>
        <w:pStyle w:val="ConsPlusNormal"/>
        <w:spacing w:before="220"/>
        <w:ind w:firstLine="540"/>
        <w:jc w:val="both"/>
      </w:pPr>
      <w:bookmarkStart w:id="2" w:name="P187"/>
      <w:bookmarkEnd w:id="2"/>
      <w:r>
        <w:t xml:space="preserve">&lt;7&gt; </w:t>
      </w:r>
      <w:hyperlink r:id="rId25">
        <w:r>
          <w:rPr>
            <w:color w:val="0000FF"/>
          </w:rPr>
          <w:t>Положение</w:t>
        </w:r>
      </w:hyperlink>
      <w:r>
        <w:t xml:space="preserve"> Банка России от 17.04.2019 N 683-П "Об установлении обязательных для кредитных организаций требований к обеспечению защиты информации при осуществлении банковской деятельности в целях противодействия осуществлению переводов денежных средств без согласия клиента".</w:t>
      </w:r>
    </w:p>
    <w:p w:rsidR="00D37325" w:rsidRDefault="00D37325">
      <w:pPr>
        <w:pStyle w:val="ConsPlusNormal"/>
        <w:spacing w:before="220"/>
        <w:ind w:firstLine="540"/>
        <w:jc w:val="both"/>
      </w:pPr>
      <w:bookmarkStart w:id="3" w:name="P188"/>
      <w:bookmarkEnd w:id="3"/>
      <w:r>
        <w:t xml:space="preserve">&lt;8&gt; </w:t>
      </w:r>
      <w:hyperlink r:id="rId26">
        <w:r>
          <w:rPr>
            <w:color w:val="0000FF"/>
          </w:rPr>
          <w:t>Положение</w:t>
        </w:r>
      </w:hyperlink>
      <w:r>
        <w:t xml:space="preserve"> Банка России от 20.04.2021 N 757-П "Об установлении обязательных для некредитных финансовых организаций требований к обеспечению защиты информации при осуществлении деятельности в сфере финансовых рынков в целях противодействия осуществлению незаконных финансовых операций".</w:t>
      </w:r>
    </w:p>
    <w:p w:rsidR="00D37325" w:rsidRDefault="00D37325">
      <w:pPr>
        <w:pStyle w:val="ConsPlusNormal"/>
        <w:jc w:val="both"/>
      </w:pPr>
    </w:p>
    <w:p w:rsidR="00D37325" w:rsidRDefault="00D37325">
      <w:pPr>
        <w:pStyle w:val="ConsPlusNormal"/>
        <w:ind w:firstLine="540"/>
        <w:jc w:val="both"/>
      </w:pPr>
      <w:r>
        <w:t xml:space="preserve">2.3. Наименование объекта информационной инфраструктуры рекомендуется формировать перечислением атрибутов, указанных в </w:t>
      </w:r>
      <w:hyperlink w:anchor="P42">
        <w:r>
          <w:rPr>
            <w:color w:val="0000FF"/>
          </w:rPr>
          <w:t>пункте 2.2</w:t>
        </w:r>
      </w:hyperlink>
      <w:r>
        <w:t xml:space="preserve"> настоящих Методических рекомендаций, разделенных символом "|" (вертикальная черта). Пример заполнения атрибутов указан в </w:t>
      </w:r>
      <w:hyperlink w:anchor="P742">
        <w:r>
          <w:rPr>
            <w:color w:val="0000FF"/>
          </w:rPr>
          <w:t>приложении 1</w:t>
        </w:r>
      </w:hyperlink>
      <w:r>
        <w:t xml:space="preserve"> к настоящим Методическим рекомендациям.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2.4. Перечень атрибутов для описания автоматизированной системы рекомендуется формировать следующим образом.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2.4.1. Атрибут "Технологический процесс".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 xml:space="preserve">Атрибут "Технологический процесс" формируется с использованием кодов, определенных в порядке составления и представления отчетности по формам, указанным в </w:t>
      </w:r>
      <w:hyperlink w:anchor="P13">
        <w:r>
          <w:rPr>
            <w:color w:val="0000FF"/>
          </w:rPr>
          <w:t>пункте 1.2</w:t>
        </w:r>
      </w:hyperlink>
      <w:r>
        <w:t xml:space="preserve"> настоящих Методических рекомендаций.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В случае если для атрибута подходит несколько значений, то для каждого его значения формируется новое описание объекта информационной инфраструктуры.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2.4.2. Атрибут "Наименование автоматизированной системы".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 xml:space="preserve">В атрибуте "Наименование автоматизированной системы" указывается наименование </w:t>
      </w:r>
      <w:r>
        <w:lastRenderedPageBreak/>
        <w:t>системы, состоящей из программных, аппаратных или программно-аппаратных средств информационных технологий, которая применяется финансовой организацией в рамках указанного технологического процесса.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В случае если для атрибута подходит несколько значений, то для каждого его значения формируется новое описание объекта информационной инфраструктуры.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2.4.3. Атрибут "Технологический участок".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В атрибуте "Технологический участок" указывается технологический участок технологического процесса, в рамках которого применяется указанная автоматизированная система, с использованием следующих кодов:</w:t>
      </w:r>
    </w:p>
    <w:p w:rsidR="00D37325" w:rsidRDefault="00D373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D37325">
        <w:tc>
          <w:tcPr>
            <w:tcW w:w="1984" w:type="dxa"/>
          </w:tcPr>
          <w:p w:rsidR="00D37325" w:rsidRDefault="00D3732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087" w:type="dxa"/>
          </w:tcPr>
          <w:p w:rsidR="00D37325" w:rsidRDefault="00D37325">
            <w:pPr>
              <w:pStyle w:val="ConsPlusNormal"/>
              <w:jc w:val="center"/>
            </w:pPr>
            <w:r>
              <w:t>Наименование технологического участка</w:t>
            </w:r>
          </w:p>
        </w:tc>
      </w:tr>
      <w:tr w:rsidR="00D37325">
        <w:tc>
          <w:tcPr>
            <w:tcW w:w="1984" w:type="dxa"/>
          </w:tcPr>
          <w:p w:rsidR="00D37325" w:rsidRDefault="00D37325">
            <w:pPr>
              <w:pStyle w:val="ConsPlusNormal"/>
            </w:pPr>
            <w:r>
              <w:t>ИАА</w:t>
            </w:r>
          </w:p>
        </w:tc>
        <w:tc>
          <w:tcPr>
            <w:tcW w:w="7087" w:type="dxa"/>
          </w:tcPr>
          <w:p w:rsidR="00D37325" w:rsidRDefault="00D37325">
            <w:pPr>
              <w:pStyle w:val="ConsPlusNormal"/>
            </w:pPr>
            <w:r>
              <w:t>Идентификация, аутентификация и авторизация клиентов при совершении действий в целях осуществления банковских/финансовых операций или обработки, хранения и передачи защищаемой информации</w:t>
            </w:r>
          </w:p>
        </w:tc>
      </w:tr>
      <w:tr w:rsidR="00D37325">
        <w:tc>
          <w:tcPr>
            <w:tcW w:w="1984" w:type="dxa"/>
          </w:tcPr>
          <w:p w:rsidR="00D37325" w:rsidRDefault="00D37325">
            <w:pPr>
              <w:pStyle w:val="ConsPlusNormal"/>
            </w:pPr>
            <w:r>
              <w:t>ФПП</w:t>
            </w:r>
          </w:p>
        </w:tc>
        <w:tc>
          <w:tcPr>
            <w:tcW w:w="7087" w:type="dxa"/>
          </w:tcPr>
          <w:p w:rsidR="00D37325" w:rsidRDefault="00D37325">
            <w:pPr>
              <w:pStyle w:val="ConsPlusNormal"/>
            </w:pPr>
            <w:r>
              <w:t>Формирование (подготовка), передача и прием электронных сообщений</w:t>
            </w:r>
          </w:p>
        </w:tc>
      </w:tr>
      <w:tr w:rsidR="00D37325">
        <w:tc>
          <w:tcPr>
            <w:tcW w:w="1984" w:type="dxa"/>
          </w:tcPr>
          <w:p w:rsidR="00D37325" w:rsidRDefault="00D37325">
            <w:pPr>
              <w:pStyle w:val="ConsPlusNormal"/>
            </w:pPr>
            <w:r>
              <w:t>УП</w:t>
            </w:r>
          </w:p>
        </w:tc>
        <w:tc>
          <w:tcPr>
            <w:tcW w:w="7087" w:type="dxa"/>
          </w:tcPr>
          <w:p w:rsidR="00D37325" w:rsidRDefault="00D37325">
            <w:pPr>
              <w:pStyle w:val="ConsPlusNormal"/>
            </w:pPr>
            <w:r>
              <w:t xml:space="preserve">Удостоверение права клиентов распоряжаться денежными средствами, ценными бумагами или иным </w:t>
            </w:r>
            <w:proofErr w:type="gramStart"/>
            <w:r>
              <w:t>имуществом</w:t>
            </w:r>
            <w:proofErr w:type="gramEnd"/>
            <w:r>
              <w:t xml:space="preserve"> или совершать действия с защищаемой информацией</w:t>
            </w:r>
          </w:p>
        </w:tc>
      </w:tr>
      <w:tr w:rsidR="00D37325">
        <w:tc>
          <w:tcPr>
            <w:tcW w:w="1984" w:type="dxa"/>
          </w:tcPr>
          <w:p w:rsidR="00D37325" w:rsidRDefault="00D37325">
            <w:pPr>
              <w:pStyle w:val="ConsPlusNormal"/>
            </w:pPr>
            <w:r>
              <w:t>ОУ</w:t>
            </w:r>
          </w:p>
        </w:tc>
        <w:tc>
          <w:tcPr>
            <w:tcW w:w="7087" w:type="dxa"/>
          </w:tcPr>
          <w:p w:rsidR="00D37325" w:rsidRDefault="00D37325">
            <w:pPr>
              <w:pStyle w:val="ConsPlusNormal"/>
            </w:pPr>
            <w:r>
              <w:t>Осуществление банковской/финансовой операции или действий в целях обработки, хранения и передачи защищаемой информации, учет результатов их осуществления</w:t>
            </w:r>
          </w:p>
        </w:tc>
      </w:tr>
      <w:tr w:rsidR="00D37325">
        <w:tc>
          <w:tcPr>
            <w:tcW w:w="1984" w:type="dxa"/>
          </w:tcPr>
          <w:p w:rsidR="00D37325" w:rsidRDefault="00D37325">
            <w:pPr>
              <w:pStyle w:val="ConsPlusNormal"/>
            </w:pPr>
            <w:r>
              <w:t>ХИ</w:t>
            </w:r>
          </w:p>
        </w:tc>
        <w:tc>
          <w:tcPr>
            <w:tcW w:w="7087" w:type="dxa"/>
          </w:tcPr>
          <w:p w:rsidR="00D37325" w:rsidRDefault="00D37325">
            <w:pPr>
              <w:pStyle w:val="ConsPlusNormal"/>
            </w:pPr>
            <w:r>
              <w:t>Хранение/учет электронных сообщений, информации об осуществленных банковских/финансовых операциях или действиях с защищаемой информацией, результатов осуществления действий в целях обработки, хранения и передачи защищаемой информации</w:t>
            </w:r>
          </w:p>
        </w:tc>
      </w:tr>
      <w:tr w:rsidR="00D37325">
        <w:tc>
          <w:tcPr>
            <w:tcW w:w="1984" w:type="dxa"/>
          </w:tcPr>
          <w:p w:rsidR="00D37325" w:rsidRDefault="00D37325">
            <w:pPr>
              <w:pStyle w:val="ConsPlusNormal"/>
            </w:pPr>
            <w:r>
              <w:t>СборБО_ЕБС</w:t>
            </w:r>
          </w:p>
        </w:tc>
        <w:tc>
          <w:tcPr>
            <w:tcW w:w="7087" w:type="dxa"/>
          </w:tcPr>
          <w:p w:rsidR="00D37325" w:rsidRDefault="00D37325">
            <w:pPr>
              <w:pStyle w:val="ConsPlusNormal"/>
            </w:pPr>
            <w:r>
              <w:t xml:space="preserve">Для единой биометрической системы (далее - ЕБС): сбор в головном офисе, филиалах или внутренних структурных подразделениях финансовых организаций, являющихся банками с универсальной лицензией или банками с базовой лицензией, указанными в </w:t>
            </w:r>
            <w:hyperlink r:id="rId27">
              <w:r>
                <w:rPr>
                  <w:color w:val="0000FF"/>
                </w:rPr>
                <w:t>пункте 5.6 статьи 7</w:t>
              </w:r>
            </w:hyperlink>
            <w:r>
              <w:t xml:space="preserve"> Федерального закона от 07.08.2001 N 115-ФЗ "О противодействии легализации (отмыванию) доходов, полученных преступным путем, и финансированию терроризма" (далее - банки), с использованием стационарных средств вычислительной техники, банкоматов, планшетов и при передаче собранных биометрических персональных данных между головным офисом, филиалами или внутренними структурными подразделениями банков, а также между планшетами и информационной инфраструктурой внутренних структурных подразделений банков</w:t>
            </w:r>
          </w:p>
        </w:tc>
      </w:tr>
      <w:tr w:rsidR="00D37325">
        <w:tc>
          <w:tcPr>
            <w:tcW w:w="1984" w:type="dxa"/>
          </w:tcPr>
          <w:p w:rsidR="00D37325" w:rsidRDefault="00D37325">
            <w:pPr>
              <w:pStyle w:val="ConsPlusNormal"/>
            </w:pPr>
            <w:r>
              <w:t>ПередачаБО_ЕБС</w:t>
            </w:r>
          </w:p>
        </w:tc>
        <w:tc>
          <w:tcPr>
            <w:tcW w:w="7087" w:type="dxa"/>
          </w:tcPr>
          <w:p w:rsidR="00D37325" w:rsidRDefault="00D37325">
            <w:pPr>
              <w:pStyle w:val="ConsPlusNormal"/>
            </w:pPr>
            <w:r>
              <w:t>Для ЕБС: взаимодействие банков с ЕБС в целях размещения или обновления биометрических персональных данных</w:t>
            </w:r>
          </w:p>
        </w:tc>
      </w:tr>
      <w:tr w:rsidR="00D37325">
        <w:tc>
          <w:tcPr>
            <w:tcW w:w="1984" w:type="dxa"/>
          </w:tcPr>
          <w:p w:rsidR="00D37325" w:rsidRDefault="00D37325">
            <w:pPr>
              <w:pStyle w:val="ConsPlusNormal"/>
            </w:pPr>
            <w:r>
              <w:t>ИА_ЕБС</w:t>
            </w:r>
          </w:p>
        </w:tc>
        <w:tc>
          <w:tcPr>
            <w:tcW w:w="7087" w:type="dxa"/>
          </w:tcPr>
          <w:p w:rsidR="00D37325" w:rsidRDefault="00D37325">
            <w:pPr>
              <w:pStyle w:val="ConsPlusNormal"/>
            </w:pPr>
            <w:r>
              <w:t>Для ЕБС: идентификация или аутентификация клиента - физического лица</w:t>
            </w:r>
          </w:p>
        </w:tc>
      </w:tr>
      <w:tr w:rsidR="00D37325">
        <w:tc>
          <w:tcPr>
            <w:tcW w:w="1984" w:type="dxa"/>
          </w:tcPr>
          <w:p w:rsidR="00D37325" w:rsidRDefault="00D37325">
            <w:pPr>
              <w:pStyle w:val="ConsPlusNormal"/>
            </w:pPr>
            <w:r>
              <w:lastRenderedPageBreak/>
              <w:t>Проверка_ЕБС</w:t>
            </w:r>
          </w:p>
        </w:tc>
        <w:tc>
          <w:tcPr>
            <w:tcW w:w="7087" w:type="dxa"/>
          </w:tcPr>
          <w:p w:rsidR="00D37325" w:rsidRDefault="00D37325">
            <w:pPr>
              <w:pStyle w:val="ConsPlusNormal"/>
            </w:pPr>
            <w:r>
              <w:t>Для ЕБС: проверка и передача информации о степени соответствия предоставленных биометрических персональных данных физического лица векторам ЕБС, содержащимся в ЕБС, при взаимодействии информационных систем финансовых организаций с ЕБС</w:t>
            </w:r>
          </w:p>
        </w:tc>
      </w:tr>
      <w:tr w:rsidR="00D37325">
        <w:tc>
          <w:tcPr>
            <w:tcW w:w="1984" w:type="dxa"/>
          </w:tcPr>
          <w:p w:rsidR="00D37325" w:rsidRDefault="00D37325">
            <w:pPr>
              <w:pStyle w:val="ConsPlusNormal"/>
            </w:pPr>
            <w:r>
              <w:t>Взаимодействие_ЕБС</w:t>
            </w:r>
          </w:p>
        </w:tc>
        <w:tc>
          <w:tcPr>
            <w:tcW w:w="7087" w:type="dxa"/>
          </w:tcPr>
          <w:p w:rsidR="00D37325" w:rsidRDefault="00D37325">
            <w:pPr>
              <w:pStyle w:val="ConsPlusNormal"/>
            </w:pPr>
            <w:r>
              <w:t>Для ЕБС: взаимодействие информационных систем финансовых организаций с ЕБС при передаче собранных биометрических персональных данных между осуществлявшими обработку биометрических персональных данных информационными системами финансовых организаций и ЕБС</w:t>
            </w:r>
          </w:p>
        </w:tc>
      </w:tr>
      <w:tr w:rsidR="00D37325">
        <w:tc>
          <w:tcPr>
            <w:tcW w:w="1984" w:type="dxa"/>
          </w:tcPr>
          <w:p w:rsidR="00D37325" w:rsidRDefault="00D37325">
            <w:pPr>
              <w:pStyle w:val="ConsPlusNormal"/>
            </w:pPr>
            <w:r>
              <w:t>ПередачаЕСИА_ЕБС</w:t>
            </w:r>
          </w:p>
        </w:tc>
        <w:tc>
          <w:tcPr>
            <w:tcW w:w="7087" w:type="dxa"/>
          </w:tcPr>
          <w:p w:rsidR="00D37325" w:rsidRDefault="00D37325">
            <w:pPr>
              <w:pStyle w:val="ConsPlusNormal"/>
            </w:pPr>
            <w:r>
              <w:t xml:space="preserve">Для ЕБС: предоставление финансовыми организациями в соответствии с </w:t>
            </w:r>
            <w:hyperlink r:id="rId28">
              <w:r>
                <w:rPr>
                  <w:color w:val="0000FF"/>
                </w:rPr>
                <w:t>частью 5 статьи 10</w:t>
              </w:r>
            </w:hyperlink>
            <w:r>
              <w:t xml:space="preserve"> Федерального закона от 29.12.2022 N 572-ФЗ в Единую систему идентификации и аутентификации (далее - ЕСИА) сведений о физических лицах, содержащихся в информационных системах организаций финансового рынка, включая идентификаторы таких сведений, перед использованием ЕБС для аутентификации</w:t>
            </w:r>
          </w:p>
        </w:tc>
      </w:tr>
      <w:tr w:rsidR="00D37325">
        <w:tc>
          <w:tcPr>
            <w:tcW w:w="1984" w:type="dxa"/>
          </w:tcPr>
          <w:p w:rsidR="00D37325" w:rsidRDefault="00D37325">
            <w:pPr>
              <w:pStyle w:val="ConsPlusNormal"/>
            </w:pPr>
            <w:r>
              <w:t>ОбработкаУА_КБС</w:t>
            </w:r>
          </w:p>
        </w:tc>
        <w:tc>
          <w:tcPr>
            <w:tcW w:w="7087" w:type="dxa"/>
          </w:tcPr>
          <w:p w:rsidR="00D37325" w:rsidRDefault="00D37325">
            <w:pPr>
              <w:pStyle w:val="ConsPlusNormal"/>
            </w:pPr>
            <w:r>
              <w:t>Для информационных систем финансовых организаций, осуществляющих аутентификацию на основе биометрических персональных данных физических лиц, за исключением единой биометрической системы (далее - КБС): обработка биометрических персональных данных и информации о степени соответствия векторов ЕБС предоставленным биометрическим персональным данным физического лица в КБС (далее - информация о степени соответствия) с использованием мобильных (переносных) устройств вычислительной техники (в том числе планшетов и электронных терминалов), стационарных средств вычислительной техники и банкоматов, принадлежащих организациям финансового рынка, а также с использованием устройств физического лица, оконечных устройств информационных систем, обеспечивающих функционирование контрольно-пропускных пунктов, в целях аутентификации физического лица с использованием биометрических персональных данных</w:t>
            </w:r>
          </w:p>
        </w:tc>
      </w:tr>
      <w:tr w:rsidR="00D37325">
        <w:tc>
          <w:tcPr>
            <w:tcW w:w="1984" w:type="dxa"/>
          </w:tcPr>
          <w:p w:rsidR="00D37325" w:rsidRDefault="00D37325">
            <w:pPr>
              <w:pStyle w:val="ConsPlusNormal"/>
            </w:pPr>
            <w:r>
              <w:t>Обработка_КБС</w:t>
            </w:r>
          </w:p>
        </w:tc>
        <w:tc>
          <w:tcPr>
            <w:tcW w:w="7087" w:type="dxa"/>
          </w:tcPr>
          <w:p w:rsidR="00D37325" w:rsidRDefault="00D37325">
            <w:pPr>
              <w:pStyle w:val="ConsPlusNormal"/>
            </w:pPr>
            <w:r>
              <w:t>Для КБС: обработка биометрических персональных данных, а также обработка, в том числе получение и хранение, информации о степени соответствия, векторов ЕБС в КБС в целях аутентификации физического лица, а также для рассмотрения обращений субъектов персональных данных, предполагающих неправомерную обработку их биометрических персональных данных при проведении аутентификации и (или) оспаривающих результаты проведения аутентификации</w:t>
            </w:r>
          </w:p>
        </w:tc>
      </w:tr>
      <w:tr w:rsidR="00D37325">
        <w:tc>
          <w:tcPr>
            <w:tcW w:w="1984" w:type="dxa"/>
          </w:tcPr>
          <w:p w:rsidR="00D37325" w:rsidRDefault="00D37325">
            <w:pPr>
              <w:pStyle w:val="ConsPlusNormal"/>
            </w:pPr>
            <w:r>
              <w:t>ПередачаЕСИА_КБС</w:t>
            </w:r>
          </w:p>
        </w:tc>
        <w:tc>
          <w:tcPr>
            <w:tcW w:w="7087" w:type="dxa"/>
          </w:tcPr>
          <w:p w:rsidR="00D37325" w:rsidRDefault="00D37325">
            <w:pPr>
              <w:pStyle w:val="ConsPlusNormal"/>
            </w:pPr>
            <w:r>
              <w:t>Для КБС: предоставление финансовыми организациями в ЕСИА сведений о физических лицах, содержащихся в информационных системах финансовых организаций, включая идентификаторы таких сведений, перед использованием КБС для аутентификации физического лица</w:t>
            </w:r>
          </w:p>
        </w:tc>
      </w:tr>
    </w:tbl>
    <w:p w:rsidR="00D37325" w:rsidRDefault="00D37325">
      <w:pPr>
        <w:pStyle w:val="ConsPlusNormal"/>
        <w:jc w:val="both"/>
      </w:pPr>
    </w:p>
    <w:p w:rsidR="00D37325" w:rsidRDefault="00D37325">
      <w:pPr>
        <w:pStyle w:val="ConsPlusNormal"/>
        <w:ind w:firstLine="540"/>
        <w:jc w:val="both"/>
      </w:pPr>
      <w:r>
        <w:t>В случае если для указанной автоматизированной системы подходит несколько технологических участков технологического процесса, то следует указать все подходящие коды через символ "-" (прочерк).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2.4.4. Атрибут "Бизнес-функция".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 xml:space="preserve">Рекомендуемый перечень бизнес-функций в зависимости от вида деятельности финансовой </w:t>
      </w:r>
      <w:r>
        <w:lastRenderedPageBreak/>
        <w:t xml:space="preserve">организации приведен в </w:t>
      </w:r>
      <w:hyperlink w:anchor="P763">
        <w:r>
          <w:rPr>
            <w:color w:val="0000FF"/>
          </w:rPr>
          <w:t>приложении 2</w:t>
        </w:r>
      </w:hyperlink>
      <w:r>
        <w:t xml:space="preserve"> к настоящим Методическим рекомендациям (далее - Рекомендуемый перечень бизнес-функций).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 xml:space="preserve">Если для видов деятельности финансовой организации применима бизнес-функция, указанная в Рекомендуемом </w:t>
      </w:r>
      <w:hyperlink w:anchor="P763">
        <w:r>
          <w:rPr>
            <w:color w:val="0000FF"/>
          </w:rPr>
          <w:t>перечне</w:t>
        </w:r>
      </w:hyperlink>
      <w:r>
        <w:t xml:space="preserve"> бизнес-функций, то атрибут "Бизнес-функция" заполняется с использованием кодов, указанных в </w:t>
      </w:r>
      <w:hyperlink w:anchor="P765">
        <w:r>
          <w:rPr>
            <w:color w:val="0000FF"/>
          </w:rPr>
          <w:t>столбце</w:t>
        </w:r>
      </w:hyperlink>
      <w:r>
        <w:t xml:space="preserve"> "Код" Рекомендуемого перечня бизнес-функций.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 xml:space="preserve">В случае отсутствия бизнес-функции в Рекомендуемом </w:t>
      </w:r>
      <w:hyperlink w:anchor="P763">
        <w:r>
          <w:rPr>
            <w:color w:val="0000FF"/>
          </w:rPr>
          <w:t>перечне</w:t>
        </w:r>
      </w:hyperlink>
      <w:r>
        <w:t xml:space="preserve"> бизнес-функций финансовой организации следует указать код, соответствующий расшифровке кода "Иная бизнес-функция", и через символ "-" (прочерк) привести наименование бизнес-функции.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В случае если для указанной автоматизированной системы подходит несколько бизнес-функций, то следует указать все подходящие коды через символ "-" (прочерк).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2.4.5. Атрибут "Функциональное значение системы".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В атрибуте "Функциональное значение системы" указываются функциональное описание и особенности указанной автоматизированной системы. Описание производится в рамках указанной бизнес-функции.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2.4.6. Атрибут "Разработчик автоматизированной системы".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В атрибуте "Разработчик автоматизированной системы" указывается доменное имя сайта компании - разработчика указанной автоматизированной системы в соответствии с официальным сайтом компании-разработчика в информационно-телекоммуникационной сети "Интернет" (далее - сеть "Интернет") без указания домена первого уровня.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2.4.7. Атрибут "Уровень критичности системы".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В атрибуте "Уровень критичности системы" указывается роль указанной автоматизированной системы для финансовой организации с использованием следующих кодов:</w:t>
      </w:r>
    </w:p>
    <w:p w:rsidR="00D37325" w:rsidRDefault="00D373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2"/>
        <w:gridCol w:w="7937"/>
      </w:tblGrid>
      <w:tr w:rsidR="00D37325">
        <w:tc>
          <w:tcPr>
            <w:tcW w:w="1142" w:type="dxa"/>
          </w:tcPr>
          <w:p w:rsidR="00D37325" w:rsidRDefault="00D3732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37" w:type="dxa"/>
          </w:tcPr>
          <w:p w:rsidR="00D37325" w:rsidRDefault="00D37325">
            <w:pPr>
              <w:pStyle w:val="ConsPlusNormal"/>
              <w:jc w:val="center"/>
            </w:pPr>
            <w:r>
              <w:t>Расшифровка кода</w:t>
            </w:r>
          </w:p>
        </w:tc>
      </w:tr>
      <w:tr w:rsidR="00D37325">
        <w:tc>
          <w:tcPr>
            <w:tcW w:w="1142" w:type="dxa"/>
          </w:tcPr>
          <w:p w:rsidR="00D37325" w:rsidRDefault="00D37325">
            <w:pPr>
              <w:pStyle w:val="ConsPlusNormal"/>
              <w:jc w:val="center"/>
            </w:pPr>
            <w:r>
              <w:t>Урв1</w:t>
            </w:r>
          </w:p>
        </w:tc>
        <w:tc>
          <w:tcPr>
            <w:tcW w:w="7937" w:type="dxa"/>
          </w:tcPr>
          <w:p w:rsidR="00D37325" w:rsidRDefault="00D37325">
            <w:pPr>
              <w:pStyle w:val="ConsPlusNormal"/>
              <w:jc w:val="center"/>
            </w:pPr>
            <w:r>
              <w:t>Mission Critical</w:t>
            </w:r>
          </w:p>
        </w:tc>
      </w:tr>
      <w:tr w:rsidR="00D37325">
        <w:tc>
          <w:tcPr>
            <w:tcW w:w="1142" w:type="dxa"/>
          </w:tcPr>
          <w:p w:rsidR="00D37325" w:rsidRDefault="00D37325">
            <w:pPr>
              <w:pStyle w:val="ConsPlusNormal"/>
              <w:jc w:val="center"/>
            </w:pPr>
            <w:r>
              <w:t>Урв2</w:t>
            </w:r>
          </w:p>
        </w:tc>
        <w:tc>
          <w:tcPr>
            <w:tcW w:w="7937" w:type="dxa"/>
          </w:tcPr>
          <w:p w:rsidR="00D37325" w:rsidRDefault="00D37325">
            <w:pPr>
              <w:pStyle w:val="ConsPlusNormal"/>
              <w:jc w:val="center"/>
            </w:pPr>
            <w:r>
              <w:t>Business Critical</w:t>
            </w:r>
          </w:p>
        </w:tc>
      </w:tr>
      <w:tr w:rsidR="00D37325">
        <w:tc>
          <w:tcPr>
            <w:tcW w:w="1142" w:type="dxa"/>
          </w:tcPr>
          <w:p w:rsidR="00D37325" w:rsidRDefault="00D37325">
            <w:pPr>
              <w:pStyle w:val="ConsPlusNormal"/>
              <w:jc w:val="center"/>
            </w:pPr>
            <w:r>
              <w:t>Урв3</w:t>
            </w:r>
          </w:p>
        </w:tc>
        <w:tc>
          <w:tcPr>
            <w:tcW w:w="7937" w:type="dxa"/>
          </w:tcPr>
          <w:p w:rsidR="00D37325" w:rsidRDefault="00D37325">
            <w:pPr>
              <w:pStyle w:val="ConsPlusNormal"/>
              <w:jc w:val="center"/>
            </w:pPr>
            <w:r>
              <w:t>Business Operational</w:t>
            </w:r>
          </w:p>
        </w:tc>
      </w:tr>
      <w:tr w:rsidR="00D37325">
        <w:tc>
          <w:tcPr>
            <w:tcW w:w="1142" w:type="dxa"/>
          </w:tcPr>
          <w:p w:rsidR="00D37325" w:rsidRDefault="00D37325">
            <w:pPr>
              <w:pStyle w:val="ConsPlusNormal"/>
              <w:jc w:val="center"/>
            </w:pPr>
            <w:r>
              <w:t>Урв4</w:t>
            </w:r>
          </w:p>
        </w:tc>
        <w:tc>
          <w:tcPr>
            <w:tcW w:w="7937" w:type="dxa"/>
          </w:tcPr>
          <w:p w:rsidR="00D37325" w:rsidRDefault="00D37325">
            <w:pPr>
              <w:pStyle w:val="ConsPlusNormal"/>
              <w:jc w:val="center"/>
            </w:pPr>
            <w:r>
              <w:t>Office Productivity</w:t>
            </w:r>
          </w:p>
        </w:tc>
      </w:tr>
    </w:tbl>
    <w:p w:rsidR="00D37325" w:rsidRDefault="00D37325">
      <w:pPr>
        <w:pStyle w:val="ConsPlusNormal"/>
        <w:jc w:val="both"/>
      </w:pPr>
    </w:p>
    <w:p w:rsidR="00D37325" w:rsidRDefault="00D37325">
      <w:pPr>
        <w:pStyle w:val="ConsPlusNormal"/>
        <w:ind w:firstLine="540"/>
        <w:jc w:val="both"/>
      </w:pPr>
      <w:r>
        <w:t>Mission Critical - система, без которой в краткосрочном промежутке времени невозможно функционирование финансовой организации и простой которой приведет к штрафным санкциям со стороны клиентов.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Business Critical - система, простой которой в среднесрочном периоде повлечет за собой финансовые или имиджевые потери финансовой организации, однако в кратковременном промежутке финансовая организация может выполнять свои обязательства перед клиентами с незначительным снижением уровня сервиса.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Business Operational - система, долговременный простой которой создает значительные неудобства пользователям. Внутренние процессы финансовой организации, не направленные на обслуживание клиентов, могут быть заблокированы, при этом отсутствие сервиса в среднесрочном периоде не влечет финансовых либо имиджевых потерь.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lastRenderedPageBreak/>
        <w:t>Office Productivity - инструментарий эксплуатационных подразделений, простой которых в среднесрочном периоде не отразится на уровне сервиса прочих систем.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2.4.8. Атрибут "Перечень систем - источников данных".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В атрибуте "Перечень систем - источников данных" указывается система, которая является источником данных для указанной автоматизированной системы. При условии отсутствия систем - источников данных следует указать "Не применимо".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В случае если для атрибута подходит несколько систем - источников данных, то следует указать все подходящие системы через символ "-" (прочерк).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2.4.9. Атрибут "Перечень систем - получателей данных".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В атрибуте "Перечень систем - получателей данных" указывается система, которая является получателем данных из указанной автоматизированной системы. При условии отсутствия систем - получателей данных следует указать "Не применимо".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В случае если для атрибута подходит несколько систем - получателей данных, то следует указать все подходящие системы через символ "-" (прочерк).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2.5. Перечень атрибутов для описания ИТ-продукта в указанной автоматизированной системе рекомендуется формировать следующим образом:</w:t>
      </w:r>
    </w:p>
    <w:p w:rsidR="00D37325" w:rsidRDefault="00D373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18"/>
        <w:gridCol w:w="1558"/>
        <w:gridCol w:w="1558"/>
        <w:gridCol w:w="1558"/>
        <w:gridCol w:w="1560"/>
      </w:tblGrid>
      <w:tr w:rsidR="00D37325">
        <w:tc>
          <w:tcPr>
            <w:tcW w:w="624" w:type="dxa"/>
            <w:vMerge w:val="restart"/>
          </w:tcPr>
          <w:p w:rsidR="00D37325" w:rsidRDefault="00D3732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8" w:type="dxa"/>
            <w:vMerge w:val="restart"/>
          </w:tcPr>
          <w:p w:rsidR="00D37325" w:rsidRDefault="00D37325">
            <w:pPr>
              <w:pStyle w:val="ConsPlusNormal"/>
              <w:jc w:val="center"/>
            </w:pPr>
            <w:r>
              <w:t>Наименование атрибута</w:t>
            </w:r>
          </w:p>
        </w:tc>
        <w:tc>
          <w:tcPr>
            <w:tcW w:w="6234" w:type="dxa"/>
            <w:gridSpan w:val="4"/>
          </w:tcPr>
          <w:p w:rsidR="00D37325" w:rsidRDefault="00D37325">
            <w:pPr>
              <w:pStyle w:val="ConsPlusNormal"/>
              <w:jc w:val="center"/>
            </w:pPr>
            <w:r>
              <w:t>Вид объекта информационной инфраструктуры</w:t>
            </w:r>
          </w:p>
        </w:tc>
      </w:tr>
      <w:tr w:rsidR="00D37325">
        <w:tc>
          <w:tcPr>
            <w:tcW w:w="624" w:type="dxa"/>
            <w:vMerge/>
          </w:tcPr>
          <w:p w:rsidR="00D37325" w:rsidRDefault="00D37325">
            <w:pPr>
              <w:pStyle w:val="ConsPlusNormal"/>
            </w:pPr>
          </w:p>
        </w:tc>
        <w:tc>
          <w:tcPr>
            <w:tcW w:w="2218" w:type="dxa"/>
            <w:vMerge/>
          </w:tcPr>
          <w:p w:rsidR="00D37325" w:rsidRDefault="00D37325">
            <w:pPr>
              <w:pStyle w:val="ConsPlusNormal"/>
            </w:pPr>
          </w:p>
        </w:tc>
        <w:tc>
          <w:tcPr>
            <w:tcW w:w="1558" w:type="dxa"/>
          </w:tcPr>
          <w:p w:rsidR="00D37325" w:rsidRDefault="00D37325">
            <w:pPr>
              <w:pStyle w:val="ConsPlusNormal"/>
              <w:jc w:val="center"/>
            </w:pPr>
            <w:r>
              <w:t>программное обеспечение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  <w:jc w:val="center"/>
            </w:pPr>
            <w:r>
              <w:t>свободное программное обеспечение (Open Source)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  <w:jc w:val="center"/>
            </w:pPr>
            <w:r>
              <w:t>оборудование</w:t>
            </w:r>
          </w:p>
        </w:tc>
        <w:tc>
          <w:tcPr>
            <w:tcW w:w="1560" w:type="dxa"/>
          </w:tcPr>
          <w:p w:rsidR="00D37325" w:rsidRDefault="00D37325">
            <w:pPr>
              <w:pStyle w:val="ConsPlusNormal"/>
              <w:jc w:val="center"/>
            </w:pPr>
            <w:r>
              <w:t>программно-аппаратный комплекс</w:t>
            </w:r>
          </w:p>
        </w:tc>
      </w:tr>
      <w:tr w:rsidR="00D37325">
        <w:tc>
          <w:tcPr>
            <w:tcW w:w="624" w:type="dxa"/>
          </w:tcPr>
          <w:p w:rsidR="00D37325" w:rsidRDefault="00D373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8" w:type="dxa"/>
          </w:tcPr>
          <w:p w:rsidR="00D37325" w:rsidRDefault="00D37325">
            <w:pPr>
              <w:pStyle w:val="ConsPlusNormal"/>
            </w:pPr>
            <w:r>
              <w:t>Наименование ИТ-продукта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  <w:tc>
          <w:tcPr>
            <w:tcW w:w="1560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</w:tr>
      <w:tr w:rsidR="00D37325">
        <w:tc>
          <w:tcPr>
            <w:tcW w:w="624" w:type="dxa"/>
          </w:tcPr>
          <w:p w:rsidR="00D37325" w:rsidRDefault="00D373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8" w:type="dxa"/>
          </w:tcPr>
          <w:p w:rsidR="00D37325" w:rsidRDefault="00D37325">
            <w:pPr>
              <w:pStyle w:val="ConsPlusNormal"/>
            </w:pPr>
            <w:r>
              <w:t>Принадлежность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  <w:tc>
          <w:tcPr>
            <w:tcW w:w="1560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</w:tr>
      <w:tr w:rsidR="00D37325">
        <w:tc>
          <w:tcPr>
            <w:tcW w:w="624" w:type="dxa"/>
          </w:tcPr>
          <w:p w:rsidR="00D37325" w:rsidRDefault="00D373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8" w:type="dxa"/>
          </w:tcPr>
          <w:p w:rsidR="00D37325" w:rsidRDefault="00D37325">
            <w:pPr>
              <w:pStyle w:val="ConsPlusNormal"/>
            </w:pPr>
            <w:r>
              <w:t>Резервная инфраструктура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  <w:tc>
          <w:tcPr>
            <w:tcW w:w="1560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</w:tr>
      <w:tr w:rsidR="00D37325">
        <w:tc>
          <w:tcPr>
            <w:tcW w:w="624" w:type="dxa"/>
          </w:tcPr>
          <w:p w:rsidR="00D37325" w:rsidRDefault="00D373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8" w:type="dxa"/>
          </w:tcPr>
          <w:p w:rsidR="00D37325" w:rsidRDefault="00D37325">
            <w:pPr>
              <w:pStyle w:val="ConsPlusNormal"/>
            </w:pPr>
            <w:r>
              <w:t>Разработчик ИТ-продукта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  <w:tc>
          <w:tcPr>
            <w:tcW w:w="1560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</w:tr>
      <w:tr w:rsidR="00D37325">
        <w:tc>
          <w:tcPr>
            <w:tcW w:w="624" w:type="dxa"/>
          </w:tcPr>
          <w:p w:rsidR="00D37325" w:rsidRDefault="00D373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8" w:type="dxa"/>
          </w:tcPr>
          <w:p w:rsidR="00D37325" w:rsidRDefault="00D37325">
            <w:pPr>
              <w:pStyle w:val="ConsPlusNormal"/>
            </w:pPr>
            <w:r>
              <w:t>Модификация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  <w:tc>
          <w:tcPr>
            <w:tcW w:w="1560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</w:tr>
      <w:tr w:rsidR="00D37325">
        <w:tc>
          <w:tcPr>
            <w:tcW w:w="624" w:type="dxa"/>
          </w:tcPr>
          <w:p w:rsidR="00D37325" w:rsidRDefault="00D373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8" w:type="dxa"/>
          </w:tcPr>
          <w:p w:rsidR="00D37325" w:rsidRDefault="00D37325">
            <w:pPr>
              <w:pStyle w:val="ConsPlusNormal"/>
            </w:pPr>
            <w:r>
              <w:t>Класс оборудования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Не применимо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Не применимо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  <w:tc>
          <w:tcPr>
            <w:tcW w:w="1560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</w:tr>
      <w:tr w:rsidR="00D37325">
        <w:tc>
          <w:tcPr>
            <w:tcW w:w="624" w:type="dxa"/>
          </w:tcPr>
          <w:p w:rsidR="00D37325" w:rsidRDefault="00D373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18" w:type="dxa"/>
          </w:tcPr>
          <w:p w:rsidR="00D37325" w:rsidRDefault="00D37325">
            <w:pPr>
              <w:pStyle w:val="ConsPlusNormal"/>
            </w:pPr>
            <w:r>
              <w:t>Класс программного обеспечения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Не применимо</w:t>
            </w:r>
          </w:p>
        </w:tc>
        <w:tc>
          <w:tcPr>
            <w:tcW w:w="1560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</w:tr>
      <w:tr w:rsidR="00D37325">
        <w:tc>
          <w:tcPr>
            <w:tcW w:w="624" w:type="dxa"/>
          </w:tcPr>
          <w:p w:rsidR="00D37325" w:rsidRDefault="00D373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8" w:type="dxa"/>
          </w:tcPr>
          <w:p w:rsidR="00D37325" w:rsidRDefault="00D37325">
            <w:pPr>
              <w:pStyle w:val="ConsPlusNormal"/>
            </w:pPr>
            <w:r>
              <w:t>Страна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Не применимо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  <w:tc>
          <w:tcPr>
            <w:tcW w:w="1560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</w:tr>
      <w:tr w:rsidR="00D37325">
        <w:tc>
          <w:tcPr>
            <w:tcW w:w="624" w:type="dxa"/>
          </w:tcPr>
          <w:p w:rsidR="00D37325" w:rsidRDefault="00D373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8" w:type="dxa"/>
          </w:tcPr>
          <w:p w:rsidR="00D37325" w:rsidRDefault="00D37325">
            <w:pPr>
              <w:pStyle w:val="ConsPlusNormal"/>
            </w:pPr>
            <w:r>
              <w:t xml:space="preserve">Наименование </w:t>
            </w:r>
            <w:r>
              <w:lastRenderedPageBreak/>
              <w:t>лицензии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lastRenderedPageBreak/>
              <w:t>Не применимо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 xml:space="preserve">Для </w:t>
            </w:r>
            <w:r>
              <w:lastRenderedPageBreak/>
              <w:t>заполнения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lastRenderedPageBreak/>
              <w:t>Не применимо</w:t>
            </w:r>
          </w:p>
        </w:tc>
        <w:tc>
          <w:tcPr>
            <w:tcW w:w="1560" w:type="dxa"/>
          </w:tcPr>
          <w:p w:rsidR="00D37325" w:rsidRDefault="00D37325">
            <w:pPr>
              <w:pStyle w:val="ConsPlusNormal"/>
            </w:pPr>
            <w:r>
              <w:t>Не применимо</w:t>
            </w:r>
          </w:p>
        </w:tc>
      </w:tr>
      <w:tr w:rsidR="00D37325">
        <w:tc>
          <w:tcPr>
            <w:tcW w:w="624" w:type="dxa"/>
          </w:tcPr>
          <w:p w:rsidR="00D37325" w:rsidRDefault="00D373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18" w:type="dxa"/>
          </w:tcPr>
          <w:p w:rsidR="00D37325" w:rsidRDefault="00D37325">
            <w:pPr>
              <w:pStyle w:val="ConsPlusNormal"/>
            </w:pPr>
            <w:r>
              <w:t>Тип лицензии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Не применимо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Не применимо</w:t>
            </w:r>
          </w:p>
        </w:tc>
        <w:tc>
          <w:tcPr>
            <w:tcW w:w="1560" w:type="dxa"/>
          </w:tcPr>
          <w:p w:rsidR="00D37325" w:rsidRDefault="00D37325">
            <w:pPr>
              <w:pStyle w:val="ConsPlusNormal"/>
            </w:pPr>
            <w:r>
              <w:t>Не применимо</w:t>
            </w:r>
          </w:p>
        </w:tc>
      </w:tr>
      <w:tr w:rsidR="00D37325">
        <w:tc>
          <w:tcPr>
            <w:tcW w:w="624" w:type="dxa"/>
          </w:tcPr>
          <w:p w:rsidR="00D37325" w:rsidRDefault="00D373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18" w:type="dxa"/>
          </w:tcPr>
          <w:p w:rsidR="00D37325" w:rsidRDefault="00D37325">
            <w:pPr>
              <w:pStyle w:val="ConsPlusNormal"/>
            </w:pPr>
            <w:r>
              <w:t>Архитектура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  <w:tc>
          <w:tcPr>
            <w:tcW w:w="1560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</w:tr>
      <w:tr w:rsidR="00D37325">
        <w:tc>
          <w:tcPr>
            <w:tcW w:w="624" w:type="dxa"/>
          </w:tcPr>
          <w:p w:rsidR="00D37325" w:rsidRDefault="00D3732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18" w:type="dxa"/>
          </w:tcPr>
          <w:p w:rsidR="00D37325" w:rsidRDefault="00D37325">
            <w:pPr>
              <w:pStyle w:val="ConsPlusNormal"/>
            </w:pPr>
            <w:r>
              <w:t>Количество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Не применимо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Не применимо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  <w:tc>
          <w:tcPr>
            <w:tcW w:w="1560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</w:tr>
      <w:tr w:rsidR="00D37325">
        <w:tc>
          <w:tcPr>
            <w:tcW w:w="624" w:type="dxa"/>
          </w:tcPr>
          <w:p w:rsidR="00D37325" w:rsidRDefault="00D3732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218" w:type="dxa"/>
          </w:tcPr>
          <w:p w:rsidR="00D37325" w:rsidRDefault="00D37325">
            <w:pPr>
              <w:pStyle w:val="ConsPlusNormal"/>
            </w:pPr>
            <w:r>
              <w:t>Закупка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  <w:tc>
          <w:tcPr>
            <w:tcW w:w="1560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</w:tr>
      <w:tr w:rsidR="00D37325">
        <w:tc>
          <w:tcPr>
            <w:tcW w:w="624" w:type="dxa"/>
          </w:tcPr>
          <w:p w:rsidR="00D37325" w:rsidRDefault="00D3732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218" w:type="dxa"/>
          </w:tcPr>
          <w:p w:rsidR="00D37325" w:rsidRDefault="00D37325">
            <w:pPr>
              <w:pStyle w:val="ConsPlusNormal"/>
            </w:pPr>
            <w:r>
              <w:t>Техническая поддержка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  <w:tc>
          <w:tcPr>
            <w:tcW w:w="1560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</w:tr>
      <w:tr w:rsidR="00D37325">
        <w:tc>
          <w:tcPr>
            <w:tcW w:w="624" w:type="dxa"/>
          </w:tcPr>
          <w:p w:rsidR="00D37325" w:rsidRDefault="00D3732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218" w:type="dxa"/>
          </w:tcPr>
          <w:p w:rsidR="00D37325" w:rsidRDefault="00D37325">
            <w:pPr>
              <w:pStyle w:val="ConsPlusNormal"/>
            </w:pPr>
            <w:r>
              <w:t>Автономность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  <w:tc>
          <w:tcPr>
            <w:tcW w:w="1560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</w:tr>
      <w:tr w:rsidR="00D37325">
        <w:tc>
          <w:tcPr>
            <w:tcW w:w="624" w:type="dxa"/>
          </w:tcPr>
          <w:p w:rsidR="00D37325" w:rsidRDefault="00D3732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218" w:type="dxa"/>
          </w:tcPr>
          <w:p w:rsidR="00D37325" w:rsidRDefault="00D37325">
            <w:pPr>
              <w:pStyle w:val="ConsPlusNormal"/>
            </w:pPr>
            <w:r>
              <w:t>Обновление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  <w:tc>
          <w:tcPr>
            <w:tcW w:w="1560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</w:tr>
      <w:tr w:rsidR="00D37325">
        <w:tc>
          <w:tcPr>
            <w:tcW w:w="624" w:type="dxa"/>
          </w:tcPr>
          <w:p w:rsidR="00D37325" w:rsidRDefault="00D3732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218" w:type="dxa"/>
          </w:tcPr>
          <w:p w:rsidR="00D37325" w:rsidRDefault="00D37325">
            <w:pPr>
              <w:pStyle w:val="ConsPlusNormal"/>
            </w:pPr>
            <w:r>
              <w:t>Уязвимости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  <w:tc>
          <w:tcPr>
            <w:tcW w:w="1560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</w:tr>
      <w:tr w:rsidR="00D37325">
        <w:tc>
          <w:tcPr>
            <w:tcW w:w="624" w:type="dxa"/>
          </w:tcPr>
          <w:p w:rsidR="00D37325" w:rsidRDefault="00D3732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218" w:type="dxa"/>
          </w:tcPr>
          <w:p w:rsidR="00D37325" w:rsidRDefault="00D37325">
            <w:pPr>
              <w:pStyle w:val="ConsPlusNormal"/>
            </w:pPr>
            <w:r>
              <w:t>Управление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  <w:tc>
          <w:tcPr>
            <w:tcW w:w="1560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</w:tr>
      <w:tr w:rsidR="00D37325">
        <w:tc>
          <w:tcPr>
            <w:tcW w:w="624" w:type="dxa"/>
          </w:tcPr>
          <w:p w:rsidR="00D37325" w:rsidRDefault="00D3732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218" w:type="dxa"/>
          </w:tcPr>
          <w:p w:rsidR="00D37325" w:rsidRDefault="00D37325">
            <w:pPr>
              <w:pStyle w:val="ConsPlusNormal"/>
            </w:pPr>
            <w:r>
              <w:t>Наличие сертификата ФСТЭК России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Не применимо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Не применимо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Не применимо</w:t>
            </w:r>
          </w:p>
        </w:tc>
        <w:tc>
          <w:tcPr>
            <w:tcW w:w="1560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</w:tr>
      <w:tr w:rsidR="00D37325">
        <w:tc>
          <w:tcPr>
            <w:tcW w:w="624" w:type="dxa"/>
          </w:tcPr>
          <w:p w:rsidR="00D37325" w:rsidRDefault="00D3732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218" w:type="dxa"/>
          </w:tcPr>
          <w:p w:rsidR="00D37325" w:rsidRDefault="00D37325">
            <w:pPr>
              <w:pStyle w:val="ConsPlusNormal"/>
            </w:pPr>
            <w:r>
              <w:t>Номер сертификата ФСТЭК России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Не применимо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Не применимо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Не применимо</w:t>
            </w:r>
          </w:p>
        </w:tc>
        <w:tc>
          <w:tcPr>
            <w:tcW w:w="1560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</w:tr>
      <w:tr w:rsidR="00D37325">
        <w:tc>
          <w:tcPr>
            <w:tcW w:w="624" w:type="dxa"/>
          </w:tcPr>
          <w:p w:rsidR="00D37325" w:rsidRDefault="00D3732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218" w:type="dxa"/>
          </w:tcPr>
          <w:p w:rsidR="00D37325" w:rsidRDefault="00D37325">
            <w:pPr>
              <w:pStyle w:val="ConsPlusNormal"/>
            </w:pPr>
            <w:r>
              <w:t>Наличие сертификата ФСБ России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Не применимо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Не применимо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Не применимо</w:t>
            </w:r>
          </w:p>
        </w:tc>
        <w:tc>
          <w:tcPr>
            <w:tcW w:w="1560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</w:tr>
      <w:tr w:rsidR="00D37325">
        <w:tc>
          <w:tcPr>
            <w:tcW w:w="624" w:type="dxa"/>
          </w:tcPr>
          <w:p w:rsidR="00D37325" w:rsidRDefault="00D3732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218" w:type="dxa"/>
          </w:tcPr>
          <w:p w:rsidR="00D37325" w:rsidRDefault="00D37325">
            <w:pPr>
              <w:pStyle w:val="ConsPlusNormal"/>
            </w:pPr>
            <w:r>
              <w:t>Номер сертификата ФСБ России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Не применимо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Не применимо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Не применимо</w:t>
            </w:r>
          </w:p>
        </w:tc>
        <w:tc>
          <w:tcPr>
            <w:tcW w:w="1560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</w:tr>
      <w:tr w:rsidR="00D37325">
        <w:tc>
          <w:tcPr>
            <w:tcW w:w="624" w:type="dxa"/>
          </w:tcPr>
          <w:p w:rsidR="00D37325" w:rsidRDefault="00D3732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218" w:type="dxa"/>
          </w:tcPr>
          <w:p w:rsidR="00D37325" w:rsidRDefault="00D37325">
            <w:pPr>
              <w:pStyle w:val="ConsPlusNormal"/>
            </w:pPr>
            <w:r>
              <w:t>Номер в реестре Минцифры России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Не применимо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Не применимо</w:t>
            </w:r>
          </w:p>
        </w:tc>
        <w:tc>
          <w:tcPr>
            <w:tcW w:w="1560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</w:tr>
      <w:tr w:rsidR="00D37325">
        <w:tc>
          <w:tcPr>
            <w:tcW w:w="624" w:type="dxa"/>
          </w:tcPr>
          <w:p w:rsidR="00D37325" w:rsidRDefault="00D3732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218" w:type="dxa"/>
          </w:tcPr>
          <w:p w:rsidR="00D37325" w:rsidRDefault="00D37325">
            <w:pPr>
              <w:pStyle w:val="ConsPlusNormal"/>
            </w:pPr>
            <w:r>
              <w:t>Номер в реестре Минпромторга России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Не применимо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Не применимо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  <w:tc>
          <w:tcPr>
            <w:tcW w:w="1560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</w:tr>
      <w:tr w:rsidR="00D37325">
        <w:tc>
          <w:tcPr>
            <w:tcW w:w="624" w:type="dxa"/>
          </w:tcPr>
          <w:p w:rsidR="00D37325" w:rsidRDefault="00D3732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218" w:type="dxa"/>
          </w:tcPr>
          <w:p w:rsidR="00D37325" w:rsidRDefault="00D37325">
            <w:pPr>
              <w:pStyle w:val="ConsPlusNormal"/>
            </w:pPr>
            <w:r>
              <w:t>Дата внесения в реестр Минцифры России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Не применимо</w:t>
            </w:r>
          </w:p>
        </w:tc>
        <w:tc>
          <w:tcPr>
            <w:tcW w:w="1558" w:type="dxa"/>
          </w:tcPr>
          <w:p w:rsidR="00D37325" w:rsidRDefault="00D37325">
            <w:pPr>
              <w:pStyle w:val="ConsPlusNormal"/>
            </w:pPr>
            <w:r>
              <w:t>Не применимо</w:t>
            </w:r>
          </w:p>
        </w:tc>
        <w:tc>
          <w:tcPr>
            <w:tcW w:w="1560" w:type="dxa"/>
          </w:tcPr>
          <w:p w:rsidR="00D37325" w:rsidRDefault="00D37325">
            <w:pPr>
              <w:pStyle w:val="ConsPlusNormal"/>
            </w:pPr>
            <w:r>
              <w:t>Для заполнения</w:t>
            </w:r>
          </w:p>
        </w:tc>
      </w:tr>
    </w:tbl>
    <w:p w:rsidR="00D37325" w:rsidRDefault="00D37325">
      <w:pPr>
        <w:pStyle w:val="ConsPlusNormal"/>
        <w:jc w:val="both"/>
      </w:pPr>
    </w:p>
    <w:p w:rsidR="00D37325" w:rsidRDefault="00D37325">
      <w:pPr>
        <w:pStyle w:val="ConsPlusNormal"/>
        <w:ind w:firstLine="540"/>
        <w:jc w:val="both"/>
      </w:pPr>
      <w:bookmarkStart w:id="4" w:name="P426"/>
      <w:bookmarkEnd w:id="4"/>
      <w:r>
        <w:t>2.5.1. Атрибут "Наименование ИТ-продукта".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 xml:space="preserve">В атрибуте "Наименование ИТ-продукта" указывается наименование ИТ-продукта, который используется в указанной автоматизированной системе. Значения для атрибута должны </w:t>
      </w:r>
      <w:r>
        <w:lastRenderedPageBreak/>
        <w:t xml:space="preserve">выбираться в соответствии со списком "Наименование ИТ-продукта", приведенным в </w:t>
      </w:r>
      <w:hyperlink w:anchor="P1260">
        <w:r>
          <w:rPr>
            <w:color w:val="0000FF"/>
          </w:rPr>
          <w:t>приложении 3</w:t>
        </w:r>
      </w:hyperlink>
      <w:r>
        <w:t xml:space="preserve"> к настоящим Методическим рекомендациям. В случае отсутствия ИТ-продукта в упомянутом списке наименование указывается финансовой организацией самостоятельно в соответствии с полным фирменным наименованием ИТ-продукта, созданного компанией-разработчиком.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В случае если для атрибута подходит несколько значений, то для каждого его значения формируется новое описание объекта информационной инфраструктуры.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2.5.2. Атрибут "Принадлежность".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В атрибуте "Принадлежность" указывается тип разработки с использованием следующих кодов:</w:t>
      </w:r>
    </w:p>
    <w:p w:rsidR="00D37325" w:rsidRDefault="00D373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2"/>
        <w:gridCol w:w="7880"/>
      </w:tblGrid>
      <w:tr w:rsidR="00D37325">
        <w:tc>
          <w:tcPr>
            <w:tcW w:w="1142" w:type="dxa"/>
            <w:vAlign w:val="bottom"/>
          </w:tcPr>
          <w:p w:rsidR="00D37325" w:rsidRDefault="00D3732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80" w:type="dxa"/>
            <w:vAlign w:val="bottom"/>
          </w:tcPr>
          <w:p w:rsidR="00D37325" w:rsidRDefault="00D37325">
            <w:pPr>
              <w:pStyle w:val="ConsPlusNormal"/>
              <w:jc w:val="center"/>
            </w:pPr>
            <w:r>
              <w:t>Расшифровка кода</w:t>
            </w:r>
          </w:p>
        </w:tc>
      </w:tr>
      <w:tr w:rsidR="00D37325">
        <w:tc>
          <w:tcPr>
            <w:tcW w:w="1142" w:type="dxa"/>
            <w:vAlign w:val="bottom"/>
          </w:tcPr>
          <w:p w:rsidR="00D37325" w:rsidRDefault="00D37325">
            <w:pPr>
              <w:pStyle w:val="ConsPlusNormal"/>
              <w:jc w:val="center"/>
            </w:pPr>
            <w:r>
              <w:t>Прин1</w:t>
            </w:r>
          </w:p>
        </w:tc>
        <w:tc>
          <w:tcPr>
            <w:tcW w:w="7880" w:type="dxa"/>
            <w:vAlign w:val="bottom"/>
          </w:tcPr>
          <w:p w:rsidR="00D37325" w:rsidRDefault="00D37325">
            <w:pPr>
              <w:pStyle w:val="ConsPlusNormal"/>
              <w:jc w:val="center"/>
            </w:pPr>
            <w:r>
              <w:t>Готовое решение</w:t>
            </w:r>
          </w:p>
        </w:tc>
      </w:tr>
      <w:tr w:rsidR="00D37325">
        <w:tc>
          <w:tcPr>
            <w:tcW w:w="1142" w:type="dxa"/>
            <w:vAlign w:val="bottom"/>
          </w:tcPr>
          <w:p w:rsidR="00D37325" w:rsidRDefault="00D37325">
            <w:pPr>
              <w:pStyle w:val="ConsPlusNormal"/>
              <w:jc w:val="center"/>
            </w:pPr>
            <w:r>
              <w:t>Прин2</w:t>
            </w:r>
          </w:p>
        </w:tc>
        <w:tc>
          <w:tcPr>
            <w:tcW w:w="7880" w:type="dxa"/>
            <w:vAlign w:val="bottom"/>
          </w:tcPr>
          <w:p w:rsidR="00D37325" w:rsidRDefault="00D37325">
            <w:pPr>
              <w:pStyle w:val="ConsPlusNormal"/>
              <w:jc w:val="center"/>
            </w:pPr>
            <w:r>
              <w:t>Собственная разработка</w:t>
            </w:r>
          </w:p>
        </w:tc>
      </w:tr>
      <w:tr w:rsidR="00D37325">
        <w:tc>
          <w:tcPr>
            <w:tcW w:w="1142" w:type="dxa"/>
            <w:vAlign w:val="bottom"/>
          </w:tcPr>
          <w:p w:rsidR="00D37325" w:rsidRDefault="00D37325">
            <w:pPr>
              <w:pStyle w:val="ConsPlusNormal"/>
              <w:jc w:val="center"/>
            </w:pPr>
            <w:r>
              <w:t>Прин3</w:t>
            </w:r>
          </w:p>
        </w:tc>
        <w:tc>
          <w:tcPr>
            <w:tcW w:w="7880" w:type="dxa"/>
            <w:vAlign w:val="bottom"/>
          </w:tcPr>
          <w:p w:rsidR="00D37325" w:rsidRDefault="00D37325">
            <w:pPr>
              <w:pStyle w:val="ConsPlusNormal"/>
              <w:jc w:val="center"/>
            </w:pPr>
            <w:r>
              <w:t>Свободное программное обеспечение (Open Source)</w:t>
            </w:r>
          </w:p>
        </w:tc>
      </w:tr>
    </w:tbl>
    <w:p w:rsidR="00D37325" w:rsidRDefault="00D37325">
      <w:pPr>
        <w:pStyle w:val="ConsPlusNormal"/>
        <w:jc w:val="both"/>
      </w:pPr>
    </w:p>
    <w:p w:rsidR="00D37325" w:rsidRDefault="00D37325">
      <w:pPr>
        <w:pStyle w:val="ConsPlusNormal"/>
        <w:ind w:firstLine="540"/>
        <w:jc w:val="both"/>
      </w:pPr>
      <w:r>
        <w:t>2.5.3. Атрибут "Резервная инфраструктура".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 xml:space="preserve">В атрибуте "Резервная инфраструктура" указывается, является ли резервным объект информационной инфраструктуры, указанный в </w:t>
      </w:r>
      <w:hyperlink w:anchor="P426">
        <w:r>
          <w:rPr>
            <w:color w:val="0000FF"/>
          </w:rPr>
          <w:t>атрибуте</w:t>
        </w:r>
      </w:hyperlink>
      <w:r>
        <w:t xml:space="preserve"> "Наименование ИТ-продукта". Атрибут следует заполнять с использованием следующих кодов:</w:t>
      </w:r>
    </w:p>
    <w:p w:rsidR="00D37325" w:rsidRDefault="00D373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2"/>
        <w:gridCol w:w="7880"/>
      </w:tblGrid>
      <w:tr w:rsidR="00D37325">
        <w:tc>
          <w:tcPr>
            <w:tcW w:w="1142" w:type="dxa"/>
          </w:tcPr>
          <w:p w:rsidR="00D37325" w:rsidRDefault="00D3732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80" w:type="dxa"/>
          </w:tcPr>
          <w:p w:rsidR="00D37325" w:rsidRDefault="00D37325">
            <w:pPr>
              <w:pStyle w:val="ConsPlusNormal"/>
              <w:jc w:val="center"/>
            </w:pPr>
            <w:r>
              <w:t>Расшифровка кода</w:t>
            </w:r>
          </w:p>
        </w:tc>
      </w:tr>
      <w:tr w:rsidR="00D37325">
        <w:tc>
          <w:tcPr>
            <w:tcW w:w="1142" w:type="dxa"/>
          </w:tcPr>
          <w:p w:rsidR="00D37325" w:rsidRDefault="00D37325">
            <w:pPr>
              <w:pStyle w:val="ConsPlusNormal"/>
              <w:jc w:val="center"/>
            </w:pPr>
            <w:r>
              <w:t>Ри1</w:t>
            </w:r>
          </w:p>
        </w:tc>
        <w:tc>
          <w:tcPr>
            <w:tcW w:w="7880" w:type="dxa"/>
          </w:tcPr>
          <w:p w:rsidR="00D37325" w:rsidRDefault="00D37325">
            <w:pPr>
              <w:pStyle w:val="ConsPlusNormal"/>
              <w:jc w:val="center"/>
            </w:pPr>
            <w:r>
              <w:t>Да</w:t>
            </w:r>
          </w:p>
        </w:tc>
      </w:tr>
      <w:tr w:rsidR="00D37325">
        <w:tc>
          <w:tcPr>
            <w:tcW w:w="1142" w:type="dxa"/>
          </w:tcPr>
          <w:p w:rsidR="00D37325" w:rsidRDefault="00D37325">
            <w:pPr>
              <w:pStyle w:val="ConsPlusNormal"/>
              <w:jc w:val="center"/>
            </w:pPr>
            <w:r>
              <w:t>Ри2</w:t>
            </w:r>
          </w:p>
        </w:tc>
        <w:tc>
          <w:tcPr>
            <w:tcW w:w="7880" w:type="dxa"/>
          </w:tcPr>
          <w:p w:rsidR="00D37325" w:rsidRDefault="00D37325">
            <w:pPr>
              <w:pStyle w:val="ConsPlusNormal"/>
              <w:jc w:val="center"/>
            </w:pPr>
            <w:r>
              <w:t>Нет</w:t>
            </w:r>
          </w:p>
        </w:tc>
      </w:tr>
    </w:tbl>
    <w:p w:rsidR="00D37325" w:rsidRDefault="00D37325">
      <w:pPr>
        <w:pStyle w:val="ConsPlusNormal"/>
        <w:jc w:val="both"/>
      </w:pPr>
    </w:p>
    <w:p w:rsidR="00D37325" w:rsidRDefault="00D37325">
      <w:pPr>
        <w:pStyle w:val="ConsPlusNormal"/>
        <w:ind w:firstLine="540"/>
        <w:jc w:val="both"/>
      </w:pPr>
      <w:bookmarkStart w:id="5" w:name="P451"/>
      <w:bookmarkEnd w:id="5"/>
      <w:r>
        <w:t>2.5.4. Атрибут "Разработчик ИТ-продукта".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 xml:space="preserve">В атрибуте "Разработчик ИТ-продукта" указывается доменное имя сайта компании - разработчика ИТ-продукта в сети "Интернет", указанного в </w:t>
      </w:r>
      <w:hyperlink w:anchor="P426">
        <w:r>
          <w:rPr>
            <w:color w:val="0000FF"/>
          </w:rPr>
          <w:t>атрибуте</w:t>
        </w:r>
      </w:hyperlink>
      <w:r>
        <w:t xml:space="preserve"> "Наименование ИТ-продукта", без указания домена первого уровня. Примеры для данного атрибута приведены в </w:t>
      </w:r>
      <w:hyperlink w:anchor="P1260">
        <w:r>
          <w:rPr>
            <w:color w:val="0000FF"/>
          </w:rPr>
          <w:t>приложении 3</w:t>
        </w:r>
      </w:hyperlink>
      <w:r>
        <w:t xml:space="preserve"> к настоящим Методическим рекомендациям.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2.5.5. Атрибут "Модификация".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 xml:space="preserve">В атрибуте "Модификация" указывается определенная версия программного обеспечения или свободного программного обеспечения (Open Source), указанного в </w:t>
      </w:r>
      <w:hyperlink w:anchor="P426">
        <w:r>
          <w:rPr>
            <w:color w:val="0000FF"/>
          </w:rPr>
          <w:t>атрибуте</w:t>
        </w:r>
      </w:hyperlink>
      <w:r>
        <w:t xml:space="preserve"> "Наименование ИТ-продукта". Для оборудования и программно-аппаратного комплекса указывается стандартный идентификатор промышленного изделия определенной конструкции или его составной части (part number ИТ-продукта). При условии отсутствия версии или part number ИТ-продукта у объекта информационной инфраструктуры следует указать "Не применимо".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2.5.6. Атрибут "Класс оборудования".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 xml:space="preserve">В атрибуте "Класс оборудования" указывается соответствующая категория объекта информационной инфраструктуры, указанного в </w:t>
      </w:r>
      <w:hyperlink w:anchor="P426">
        <w:r>
          <w:rPr>
            <w:color w:val="0000FF"/>
          </w:rPr>
          <w:t>атрибуте</w:t>
        </w:r>
      </w:hyperlink>
      <w:r>
        <w:t xml:space="preserve"> "Наименование ИТ-продукта", применимая к оборудованию и программно-аппаратному комплексу, которое используется в указанной автоматизированной системе. Атрибут включает в себя следующие типы объектов </w:t>
      </w:r>
      <w:r>
        <w:lastRenderedPageBreak/>
        <w:t>информационной инфраструктуры: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аппаратное обеспечение;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сетевое оборудование.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Атрибут "Класс оборудования" заполняется с использованием следующих кодов:</w:t>
      </w:r>
    </w:p>
    <w:p w:rsidR="00D37325" w:rsidRDefault="00D373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2"/>
        <w:gridCol w:w="7880"/>
      </w:tblGrid>
      <w:tr w:rsidR="00D37325">
        <w:tc>
          <w:tcPr>
            <w:tcW w:w="1142" w:type="dxa"/>
          </w:tcPr>
          <w:p w:rsidR="00D37325" w:rsidRDefault="00D3732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80" w:type="dxa"/>
          </w:tcPr>
          <w:p w:rsidR="00D37325" w:rsidRDefault="00D37325">
            <w:pPr>
              <w:pStyle w:val="ConsPlusNormal"/>
              <w:jc w:val="center"/>
            </w:pPr>
            <w:r>
              <w:t>Расшифровка кода</w:t>
            </w:r>
          </w:p>
        </w:tc>
      </w:tr>
      <w:tr w:rsidR="00D37325">
        <w:tc>
          <w:tcPr>
            <w:tcW w:w="1142" w:type="dxa"/>
          </w:tcPr>
          <w:p w:rsidR="00D37325" w:rsidRDefault="00D37325">
            <w:pPr>
              <w:pStyle w:val="ConsPlusNormal"/>
              <w:jc w:val="center"/>
            </w:pPr>
            <w:r>
              <w:t>Клсо1</w:t>
            </w:r>
          </w:p>
        </w:tc>
        <w:tc>
          <w:tcPr>
            <w:tcW w:w="7880" w:type="dxa"/>
          </w:tcPr>
          <w:p w:rsidR="00D37325" w:rsidRDefault="00D37325">
            <w:pPr>
              <w:pStyle w:val="ConsPlusNormal"/>
              <w:jc w:val="center"/>
            </w:pPr>
            <w:r>
              <w:t>Серверное оборудование</w:t>
            </w:r>
          </w:p>
        </w:tc>
      </w:tr>
      <w:tr w:rsidR="00D37325">
        <w:tc>
          <w:tcPr>
            <w:tcW w:w="1142" w:type="dxa"/>
          </w:tcPr>
          <w:p w:rsidR="00D37325" w:rsidRDefault="00D37325">
            <w:pPr>
              <w:pStyle w:val="ConsPlusNormal"/>
              <w:jc w:val="center"/>
            </w:pPr>
            <w:r>
              <w:t>Клсо2</w:t>
            </w:r>
          </w:p>
        </w:tc>
        <w:tc>
          <w:tcPr>
            <w:tcW w:w="7880" w:type="dxa"/>
          </w:tcPr>
          <w:p w:rsidR="00D37325" w:rsidRDefault="00D37325">
            <w:pPr>
              <w:pStyle w:val="ConsPlusNormal"/>
              <w:jc w:val="center"/>
            </w:pPr>
            <w:r>
              <w:t>Система хранения данных</w:t>
            </w:r>
          </w:p>
        </w:tc>
      </w:tr>
      <w:tr w:rsidR="00D37325">
        <w:tc>
          <w:tcPr>
            <w:tcW w:w="1142" w:type="dxa"/>
          </w:tcPr>
          <w:p w:rsidR="00D37325" w:rsidRDefault="00D37325">
            <w:pPr>
              <w:pStyle w:val="ConsPlusNormal"/>
              <w:jc w:val="center"/>
            </w:pPr>
            <w:r>
              <w:t>Клсо3</w:t>
            </w:r>
          </w:p>
        </w:tc>
        <w:tc>
          <w:tcPr>
            <w:tcW w:w="7880" w:type="dxa"/>
          </w:tcPr>
          <w:p w:rsidR="00D37325" w:rsidRDefault="00D37325">
            <w:pPr>
              <w:pStyle w:val="ConsPlusNormal"/>
              <w:jc w:val="center"/>
            </w:pPr>
            <w:r>
              <w:t>Телекоммуникационное оборудование</w:t>
            </w:r>
          </w:p>
        </w:tc>
      </w:tr>
      <w:tr w:rsidR="00D37325">
        <w:tc>
          <w:tcPr>
            <w:tcW w:w="1142" w:type="dxa"/>
          </w:tcPr>
          <w:p w:rsidR="00D37325" w:rsidRDefault="00D37325">
            <w:pPr>
              <w:pStyle w:val="ConsPlusNormal"/>
              <w:jc w:val="center"/>
            </w:pPr>
            <w:r>
              <w:t>Клсо4</w:t>
            </w:r>
          </w:p>
        </w:tc>
        <w:tc>
          <w:tcPr>
            <w:tcW w:w="7880" w:type="dxa"/>
          </w:tcPr>
          <w:p w:rsidR="00D37325" w:rsidRDefault="00D37325">
            <w:pPr>
              <w:pStyle w:val="ConsPlusNormal"/>
              <w:jc w:val="center"/>
            </w:pPr>
            <w:r>
              <w:t>Комплекс защиты от несанкционированного доступа к информации</w:t>
            </w:r>
          </w:p>
        </w:tc>
      </w:tr>
      <w:tr w:rsidR="00D37325">
        <w:tc>
          <w:tcPr>
            <w:tcW w:w="1142" w:type="dxa"/>
          </w:tcPr>
          <w:p w:rsidR="00D37325" w:rsidRDefault="00D37325">
            <w:pPr>
              <w:pStyle w:val="ConsPlusNormal"/>
              <w:jc w:val="center"/>
            </w:pPr>
            <w:r>
              <w:t>Клсо5</w:t>
            </w:r>
          </w:p>
        </w:tc>
        <w:tc>
          <w:tcPr>
            <w:tcW w:w="7880" w:type="dxa"/>
          </w:tcPr>
          <w:p w:rsidR="00D37325" w:rsidRDefault="00D37325">
            <w:pPr>
              <w:pStyle w:val="ConsPlusNormal"/>
              <w:jc w:val="center"/>
            </w:pPr>
            <w:r>
              <w:t>Комплекс управления событиями информационной безопасности</w:t>
            </w:r>
          </w:p>
        </w:tc>
      </w:tr>
      <w:tr w:rsidR="00D37325">
        <w:tc>
          <w:tcPr>
            <w:tcW w:w="1142" w:type="dxa"/>
          </w:tcPr>
          <w:p w:rsidR="00D37325" w:rsidRDefault="00D37325">
            <w:pPr>
              <w:pStyle w:val="ConsPlusNormal"/>
              <w:jc w:val="center"/>
            </w:pPr>
            <w:r>
              <w:t>Клсо6</w:t>
            </w:r>
          </w:p>
        </w:tc>
        <w:tc>
          <w:tcPr>
            <w:tcW w:w="7880" w:type="dxa"/>
          </w:tcPr>
          <w:p w:rsidR="00D37325" w:rsidRDefault="00D37325">
            <w:pPr>
              <w:pStyle w:val="ConsPlusNormal"/>
              <w:jc w:val="center"/>
            </w:pPr>
            <w:r>
              <w:t>Комплекс межсетевых экранов</w:t>
            </w:r>
          </w:p>
        </w:tc>
      </w:tr>
      <w:tr w:rsidR="00D37325">
        <w:tc>
          <w:tcPr>
            <w:tcW w:w="1142" w:type="dxa"/>
          </w:tcPr>
          <w:p w:rsidR="00D37325" w:rsidRDefault="00D37325">
            <w:pPr>
              <w:pStyle w:val="ConsPlusNormal"/>
              <w:jc w:val="center"/>
            </w:pPr>
            <w:r>
              <w:t>Клсо7</w:t>
            </w:r>
          </w:p>
        </w:tc>
        <w:tc>
          <w:tcPr>
            <w:tcW w:w="7880" w:type="dxa"/>
          </w:tcPr>
          <w:p w:rsidR="00D37325" w:rsidRDefault="00D37325">
            <w:pPr>
              <w:pStyle w:val="ConsPlusNormal"/>
              <w:jc w:val="center"/>
            </w:pPr>
            <w:r>
              <w:t>Комплекс фильтрации негативного контента</w:t>
            </w:r>
          </w:p>
        </w:tc>
      </w:tr>
      <w:tr w:rsidR="00D37325">
        <w:tc>
          <w:tcPr>
            <w:tcW w:w="1142" w:type="dxa"/>
          </w:tcPr>
          <w:p w:rsidR="00D37325" w:rsidRDefault="00D37325">
            <w:pPr>
              <w:pStyle w:val="ConsPlusNormal"/>
              <w:jc w:val="center"/>
            </w:pPr>
            <w:r>
              <w:t>Клсо8</w:t>
            </w:r>
          </w:p>
        </w:tc>
        <w:tc>
          <w:tcPr>
            <w:tcW w:w="7880" w:type="dxa"/>
          </w:tcPr>
          <w:p w:rsidR="00D37325" w:rsidRDefault="00D37325">
            <w:pPr>
              <w:pStyle w:val="ConsPlusNormal"/>
              <w:jc w:val="center"/>
            </w:pPr>
            <w:r>
              <w:t>Комплекс антивирусной защиты</w:t>
            </w:r>
          </w:p>
        </w:tc>
      </w:tr>
      <w:tr w:rsidR="00D37325">
        <w:tc>
          <w:tcPr>
            <w:tcW w:w="1142" w:type="dxa"/>
          </w:tcPr>
          <w:p w:rsidR="00D37325" w:rsidRDefault="00D37325">
            <w:pPr>
              <w:pStyle w:val="ConsPlusNormal"/>
              <w:jc w:val="center"/>
            </w:pPr>
            <w:r>
              <w:t>Клсо9</w:t>
            </w:r>
          </w:p>
        </w:tc>
        <w:tc>
          <w:tcPr>
            <w:tcW w:w="7880" w:type="dxa"/>
          </w:tcPr>
          <w:p w:rsidR="00D37325" w:rsidRDefault="00D37325">
            <w:pPr>
              <w:pStyle w:val="ConsPlusNormal"/>
              <w:jc w:val="center"/>
            </w:pPr>
            <w:r>
              <w:t>Комплекс выявления целевых компьютерных атак</w:t>
            </w:r>
          </w:p>
        </w:tc>
      </w:tr>
      <w:tr w:rsidR="00D37325">
        <w:tc>
          <w:tcPr>
            <w:tcW w:w="1142" w:type="dxa"/>
          </w:tcPr>
          <w:p w:rsidR="00D37325" w:rsidRDefault="00D37325">
            <w:pPr>
              <w:pStyle w:val="ConsPlusNormal"/>
              <w:jc w:val="center"/>
            </w:pPr>
            <w:r>
              <w:t>Клсо10</w:t>
            </w:r>
          </w:p>
        </w:tc>
        <w:tc>
          <w:tcPr>
            <w:tcW w:w="7880" w:type="dxa"/>
          </w:tcPr>
          <w:p w:rsidR="00D37325" w:rsidRDefault="00D37325">
            <w:pPr>
              <w:pStyle w:val="ConsPlusNormal"/>
              <w:jc w:val="center"/>
            </w:pPr>
            <w:r>
              <w:t>Комплекс гарантированного уничтожения данных</w:t>
            </w:r>
          </w:p>
        </w:tc>
      </w:tr>
      <w:tr w:rsidR="00D37325">
        <w:tc>
          <w:tcPr>
            <w:tcW w:w="1142" w:type="dxa"/>
          </w:tcPr>
          <w:p w:rsidR="00D37325" w:rsidRDefault="00D37325">
            <w:pPr>
              <w:pStyle w:val="ConsPlusNormal"/>
              <w:jc w:val="center"/>
            </w:pPr>
            <w:r>
              <w:t>Клсо11</w:t>
            </w:r>
          </w:p>
        </w:tc>
        <w:tc>
          <w:tcPr>
            <w:tcW w:w="7880" w:type="dxa"/>
          </w:tcPr>
          <w:p w:rsidR="00D37325" w:rsidRDefault="00D37325">
            <w:pPr>
              <w:pStyle w:val="ConsPlusNormal"/>
              <w:jc w:val="center"/>
            </w:pPr>
            <w:r>
              <w:t>Комплекс обнаружения и предотвращения утечек информации</w:t>
            </w:r>
          </w:p>
        </w:tc>
      </w:tr>
      <w:tr w:rsidR="00D37325">
        <w:tc>
          <w:tcPr>
            <w:tcW w:w="1142" w:type="dxa"/>
          </w:tcPr>
          <w:p w:rsidR="00D37325" w:rsidRDefault="00D37325">
            <w:pPr>
              <w:pStyle w:val="ConsPlusNormal"/>
              <w:jc w:val="center"/>
            </w:pPr>
            <w:r>
              <w:t>Клсо12</w:t>
            </w:r>
          </w:p>
        </w:tc>
        <w:tc>
          <w:tcPr>
            <w:tcW w:w="7880" w:type="dxa"/>
          </w:tcPr>
          <w:p w:rsidR="00D37325" w:rsidRDefault="00D37325">
            <w:pPr>
              <w:pStyle w:val="ConsPlusNormal"/>
              <w:jc w:val="center"/>
            </w:pPr>
            <w:r>
              <w:t>Комплекс криптографической защиты информации и электронной подписи</w:t>
            </w:r>
          </w:p>
        </w:tc>
      </w:tr>
      <w:tr w:rsidR="00D37325">
        <w:tc>
          <w:tcPr>
            <w:tcW w:w="1142" w:type="dxa"/>
          </w:tcPr>
          <w:p w:rsidR="00D37325" w:rsidRDefault="00D37325">
            <w:pPr>
              <w:pStyle w:val="ConsPlusNormal"/>
              <w:jc w:val="center"/>
            </w:pPr>
            <w:r>
              <w:t>Клсо13</w:t>
            </w:r>
          </w:p>
        </w:tc>
        <w:tc>
          <w:tcPr>
            <w:tcW w:w="7880" w:type="dxa"/>
          </w:tcPr>
          <w:p w:rsidR="00D37325" w:rsidRDefault="00D37325">
            <w:pPr>
              <w:pStyle w:val="ConsPlusNormal"/>
              <w:jc w:val="center"/>
            </w:pPr>
            <w:r>
              <w:t>Комплекс защиты каналов передачи данных, в том числе криптографическими методами</w:t>
            </w:r>
          </w:p>
        </w:tc>
      </w:tr>
      <w:tr w:rsidR="00D37325">
        <w:tc>
          <w:tcPr>
            <w:tcW w:w="1142" w:type="dxa"/>
          </w:tcPr>
          <w:p w:rsidR="00D37325" w:rsidRDefault="00D37325">
            <w:pPr>
              <w:pStyle w:val="ConsPlusNormal"/>
              <w:jc w:val="center"/>
            </w:pPr>
            <w:r>
              <w:t>Клсо14</w:t>
            </w:r>
          </w:p>
        </w:tc>
        <w:tc>
          <w:tcPr>
            <w:tcW w:w="7880" w:type="dxa"/>
          </w:tcPr>
          <w:p w:rsidR="00D37325" w:rsidRDefault="00D37325">
            <w:pPr>
              <w:pStyle w:val="ConsPlusNormal"/>
              <w:jc w:val="center"/>
            </w:pPr>
            <w:r>
              <w:t>Комплекс управления доступом к информационным ресурсам</w:t>
            </w:r>
          </w:p>
        </w:tc>
      </w:tr>
      <w:tr w:rsidR="00D37325">
        <w:tc>
          <w:tcPr>
            <w:tcW w:w="1142" w:type="dxa"/>
          </w:tcPr>
          <w:p w:rsidR="00D37325" w:rsidRDefault="00D37325">
            <w:pPr>
              <w:pStyle w:val="ConsPlusNormal"/>
              <w:jc w:val="center"/>
            </w:pPr>
            <w:r>
              <w:t>Клсо15</w:t>
            </w:r>
          </w:p>
        </w:tc>
        <w:tc>
          <w:tcPr>
            <w:tcW w:w="7880" w:type="dxa"/>
          </w:tcPr>
          <w:p w:rsidR="00D37325" w:rsidRDefault="00D37325">
            <w:pPr>
              <w:pStyle w:val="ConsPlusNormal"/>
              <w:jc w:val="center"/>
            </w:pPr>
            <w:r>
              <w:t>Комплекс резервного копирования</w:t>
            </w:r>
          </w:p>
        </w:tc>
      </w:tr>
      <w:tr w:rsidR="00D37325">
        <w:tc>
          <w:tcPr>
            <w:tcW w:w="1142" w:type="dxa"/>
          </w:tcPr>
          <w:p w:rsidR="00D37325" w:rsidRDefault="00D37325">
            <w:pPr>
              <w:pStyle w:val="ConsPlusNormal"/>
              <w:jc w:val="center"/>
            </w:pPr>
            <w:r>
              <w:t>Клсо16</w:t>
            </w:r>
          </w:p>
        </w:tc>
        <w:tc>
          <w:tcPr>
            <w:tcW w:w="7880" w:type="dxa"/>
          </w:tcPr>
          <w:p w:rsidR="00D37325" w:rsidRDefault="00D37325">
            <w:pPr>
              <w:pStyle w:val="ConsPlusNormal"/>
              <w:jc w:val="center"/>
            </w:pPr>
            <w:r>
              <w:t>Комплекс обнаружения и (или) предотвращений вторжений (атак)</w:t>
            </w:r>
          </w:p>
        </w:tc>
      </w:tr>
      <w:tr w:rsidR="00D37325">
        <w:tc>
          <w:tcPr>
            <w:tcW w:w="1142" w:type="dxa"/>
          </w:tcPr>
          <w:p w:rsidR="00D37325" w:rsidRDefault="00D37325">
            <w:pPr>
              <w:pStyle w:val="ConsPlusNormal"/>
              <w:jc w:val="center"/>
            </w:pPr>
            <w:r>
              <w:t>Клсо17</w:t>
            </w:r>
          </w:p>
        </w:tc>
        <w:tc>
          <w:tcPr>
            <w:tcW w:w="7880" w:type="dxa"/>
          </w:tcPr>
          <w:p w:rsidR="00D37325" w:rsidRDefault="00D37325">
            <w:pPr>
              <w:pStyle w:val="ConsPlusNormal"/>
              <w:jc w:val="center"/>
            </w:pPr>
            <w:r>
              <w:t>Комплекс для безопасного хранения и переноса информации</w:t>
            </w:r>
          </w:p>
        </w:tc>
      </w:tr>
      <w:tr w:rsidR="00D37325">
        <w:tc>
          <w:tcPr>
            <w:tcW w:w="1142" w:type="dxa"/>
          </w:tcPr>
          <w:p w:rsidR="00D37325" w:rsidRDefault="00D37325">
            <w:pPr>
              <w:pStyle w:val="ConsPlusNormal"/>
              <w:jc w:val="center"/>
            </w:pPr>
            <w:r>
              <w:t>Клсо18</w:t>
            </w:r>
          </w:p>
        </w:tc>
        <w:tc>
          <w:tcPr>
            <w:tcW w:w="7880" w:type="dxa"/>
          </w:tcPr>
          <w:p w:rsidR="00D37325" w:rsidRDefault="00D37325">
            <w:pPr>
              <w:pStyle w:val="ConsPlusNormal"/>
              <w:jc w:val="center"/>
            </w:pPr>
            <w:r>
              <w:t>Комплекс для однонаправленной передачи информации</w:t>
            </w:r>
          </w:p>
        </w:tc>
      </w:tr>
      <w:tr w:rsidR="00D37325">
        <w:tc>
          <w:tcPr>
            <w:tcW w:w="1142" w:type="dxa"/>
          </w:tcPr>
          <w:p w:rsidR="00D37325" w:rsidRDefault="00D37325">
            <w:pPr>
              <w:pStyle w:val="ConsPlusNormal"/>
              <w:jc w:val="center"/>
            </w:pPr>
            <w:r>
              <w:t>Клсо19</w:t>
            </w:r>
          </w:p>
        </w:tc>
        <w:tc>
          <w:tcPr>
            <w:tcW w:w="7880" w:type="dxa"/>
          </w:tcPr>
          <w:p w:rsidR="00D37325" w:rsidRDefault="00D37325">
            <w:pPr>
              <w:pStyle w:val="ConsPlusNormal"/>
              <w:jc w:val="center"/>
            </w:pPr>
            <w:r>
              <w:t>Комплекс для обеспечения безопасной дистанционной работы</w:t>
            </w:r>
          </w:p>
        </w:tc>
      </w:tr>
      <w:tr w:rsidR="00D37325">
        <w:tc>
          <w:tcPr>
            <w:tcW w:w="1142" w:type="dxa"/>
          </w:tcPr>
          <w:p w:rsidR="00D37325" w:rsidRDefault="00D37325">
            <w:pPr>
              <w:pStyle w:val="ConsPlusNormal"/>
              <w:jc w:val="center"/>
            </w:pPr>
            <w:r>
              <w:t>Клсо20</w:t>
            </w:r>
          </w:p>
        </w:tc>
        <w:tc>
          <w:tcPr>
            <w:tcW w:w="7880" w:type="dxa"/>
          </w:tcPr>
          <w:p w:rsidR="00D37325" w:rsidRDefault="00D37325">
            <w:pPr>
              <w:pStyle w:val="ConsPlusNormal"/>
              <w:jc w:val="center"/>
            </w:pPr>
            <w:r>
              <w:t>Комплекс для обнаружения угроз и расследования инцидентов</w:t>
            </w:r>
          </w:p>
        </w:tc>
      </w:tr>
      <w:tr w:rsidR="00D37325">
        <w:tc>
          <w:tcPr>
            <w:tcW w:w="1142" w:type="dxa"/>
          </w:tcPr>
          <w:p w:rsidR="00D37325" w:rsidRDefault="00D37325">
            <w:pPr>
              <w:pStyle w:val="ConsPlusNormal"/>
              <w:jc w:val="center"/>
            </w:pPr>
            <w:r>
              <w:t>Клсо21</w:t>
            </w:r>
          </w:p>
        </w:tc>
        <w:tc>
          <w:tcPr>
            <w:tcW w:w="7880" w:type="dxa"/>
          </w:tcPr>
          <w:p w:rsidR="00D37325" w:rsidRDefault="00D37325">
            <w:pPr>
              <w:pStyle w:val="ConsPlusNormal"/>
              <w:jc w:val="center"/>
            </w:pPr>
            <w:r>
              <w:t>Комплекс ключевых носителей</w:t>
            </w:r>
          </w:p>
        </w:tc>
      </w:tr>
      <w:tr w:rsidR="00D37325">
        <w:tc>
          <w:tcPr>
            <w:tcW w:w="1142" w:type="dxa"/>
          </w:tcPr>
          <w:p w:rsidR="00D37325" w:rsidRDefault="00D37325">
            <w:pPr>
              <w:pStyle w:val="ConsPlusNormal"/>
              <w:jc w:val="center"/>
            </w:pPr>
            <w:r>
              <w:t>Клсо22</w:t>
            </w:r>
          </w:p>
        </w:tc>
        <w:tc>
          <w:tcPr>
            <w:tcW w:w="7880" w:type="dxa"/>
          </w:tcPr>
          <w:p w:rsidR="00D37325" w:rsidRDefault="00D37325">
            <w:pPr>
              <w:pStyle w:val="ConsPlusNormal"/>
              <w:jc w:val="center"/>
            </w:pPr>
            <w:r>
              <w:t>Комплекс администрирования и управления жизненным циклом ключевых носителей</w:t>
            </w:r>
          </w:p>
        </w:tc>
      </w:tr>
      <w:tr w:rsidR="00D37325">
        <w:tc>
          <w:tcPr>
            <w:tcW w:w="1142" w:type="dxa"/>
          </w:tcPr>
          <w:p w:rsidR="00D37325" w:rsidRDefault="00D37325">
            <w:pPr>
              <w:pStyle w:val="ConsPlusNormal"/>
              <w:jc w:val="center"/>
            </w:pPr>
            <w:r>
              <w:t>Клсо23</w:t>
            </w:r>
          </w:p>
        </w:tc>
        <w:tc>
          <w:tcPr>
            <w:tcW w:w="7880" w:type="dxa"/>
          </w:tcPr>
          <w:p w:rsidR="00D37325" w:rsidRDefault="00D37325">
            <w:pPr>
              <w:pStyle w:val="ConsPlusNormal"/>
              <w:jc w:val="center"/>
            </w:pPr>
            <w:r>
              <w:t>Комплекс средства автоматизации процессов информационной безопасности</w:t>
            </w:r>
          </w:p>
        </w:tc>
      </w:tr>
      <w:tr w:rsidR="00D37325">
        <w:tc>
          <w:tcPr>
            <w:tcW w:w="1142" w:type="dxa"/>
          </w:tcPr>
          <w:p w:rsidR="00D37325" w:rsidRDefault="00D37325">
            <w:pPr>
              <w:pStyle w:val="ConsPlusNormal"/>
              <w:jc w:val="center"/>
            </w:pPr>
            <w:r>
              <w:lastRenderedPageBreak/>
              <w:t>Клсо24</w:t>
            </w:r>
          </w:p>
        </w:tc>
        <w:tc>
          <w:tcPr>
            <w:tcW w:w="7880" w:type="dxa"/>
          </w:tcPr>
          <w:p w:rsidR="00D37325" w:rsidRDefault="00D37325">
            <w:pPr>
              <w:pStyle w:val="ConsPlusNormal"/>
              <w:jc w:val="center"/>
            </w:pPr>
            <w:r>
              <w:t>Комплекс квантовых криптографических систем выработки распределения ключа</w:t>
            </w:r>
          </w:p>
        </w:tc>
      </w:tr>
      <w:tr w:rsidR="00D37325">
        <w:tc>
          <w:tcPr>
            <w:tcW w:w="1142" w:type="dxa"/>
          </w:tcPr>
          <w:p w:rsidR="00D37325" w:rsidRDefault="00D37325">
            <w:pPr>
              <w:pStyle w:val="ConsPlusNormal"/>
              <w:jc w:val="center"/>
            </w:pPr>
            <w:r>
              <w:t>Клсо25</w:t>
            </w:r>
          </w:p>
        </w:tc>
        <w:tc>
          <w:tcPr>
            <w:tcW w:w="7880" w:type="dxa"/>
          </w:tcPr>
          <w:p w:rsidR="00D37325" w:rsidRDefault="00D37325">
            <w:pPr>
              <w:pStyle w:val="ConsPlusNormal"/>
              <w:jc w:val="center"/>
            </w:pPr>
            <w:r>
              <w:t>Комплекс для защиты программного обеспечения от нелегального копирования и использования</w:t>
            </w:r>
          </w:p>
        </w:tc>
      </w:tr>
      <w:tr w:rsidR="00D37325">
        <w:tc>
          <w:tcPr>
            <w:tcW w:w="1142" w:type="dxa"/>
          </w:tcPr>
          <w:p w:rsidR="00D37325" w:rsidRDefault="00D37325">
            <w:pPr>
              <w:pStyle w:val="ConsPlusNormal"/>
              <w:jc w:val="center"/>
            </w:pPr>
            <w:r>
              <w:t>Клсо26</w:t>
            </w:r>
          </w:p>
        </w:tc>
        <w:tc>
          <w:tcPr>
            <w:tcW w:w="7880" w:type="dxa"/>
          </w:tcPr>
          <w:p w:rsidR="00D37325" w:rsidRDefault="00D37325">
            <w:pPr>
              <w:pStyle w:val="ConsPlusNormal"/>
              <w:jc w:val="center"/>
            </w:pPr>
            <w:r>
              <w:t>Комплекс для обеспечения безопасной разработки программного обеспечения</w:t>
            </w:r>
          </w:p>
        </w:tc>
      </w:tr>
      <w:tr w:rsidR="00D37325">
        <w:tc>
          <w:tcPr>
            <w:tcW w:w="1142" w:type="dxa"/>
          </w:tcPr>
          <w:p w:rsidR="00D37325" w:rsidRDefault="00D37325">
            <w:pPr>
              <w:pStyle w:val="ConsPlusNormal"/>
              <w:jc w:val="center"/>
            </w:pPr>
            <w:r>
              <w:t>Клсо27</w:t>
            </w:r>
          </w:p>
        </w:tc>
        <w:tc>
          <w:tcPr>
            <w:tcW w:w="7880" w:type="dxa"/>
          </w:tcPr>
          <w:p w:rsidR="00D37325" w:rsidRDefault="00D37325">
            <w:pPr>
              <w:pStyle w:val="ConsPlusNormal"/>
              <w:jc w:val="center"/>
            </w:pPr>
            <w:r>
              <w:t>Комплекс для безопасного прямого сбора данных с промышленного контура предприятия с последующей предобработкой, конвертацией и передачей их в информационные системы</w:t>
            </w:r>
          </w:p>
        </w:tc>
      </w:tr>
      <w:tr w:rsidR="00D37325">
        <w:tc>
          <w:tcPr>
            <w:tcW w:w="1142" w:type="dxa"/>
          </w:tcPr>
          <w:p w:rsidR="00D37325" w:rsidRDefault="00D37325">
            <w:pPr>
              <w:pStyle w:val="ConsPlusNormal"/>
              <w:jc w:val="center"/>
            </w:pPr>
            <w:r>
              <w:t>Клсо28</w:t>
            </w:r>
          </w:p>
        </w:tc>
        <w:tc>
          <w:tcPr>
            <w:tcW w:w="7880" w:type="dxa"/>
          </w:tcPr>
          <w:p w:rsidR="00D37325" w:rsidRDefault="00D37325">
            <w:pPr>
              <w:pStyle w:val="ConsPlusNormal"/>
              <w:jc w:val="center"/>
            </w:pPr>
            <w:r>
              <w:t>Комплекс для защиты сервисов онлайн-платежей и дистанционного банковского обслуживания (в том числе HSM)</w:t>
            </w:r>
          </w:p>
        </w:tc>
      </w:tr>
      <w:tr w:rsidR="00D37325">
        <w:tc>
          <w:tcPr>
            <w:tcW w:w="1142" w:type="dxa"/>
          </w:tcPr>
          <w:p w:rsidR="00D37325" w:rsidRDefault="00D37325">
            <w:pPr>
              <w:pStyle w:val="ConsPlusNormal"/>
              <w:jc w:val="center"/>
            </w:pPr>
            <w:r>
              <w:t>Клсо99</w:t>
            </w:r>
          </w:p>
        </w:tc>
        <w:tc>
          <w:tcPr>
            <w:tcW w:w="7880" w:type="dxa"/>
          </w:tcPr>
          <w:p w:rsidR="00D37325" w:rsidRDefault="00D37325">
            <w:pPr>
              <w:pStyle w:val="ConsPlusNormal"/>
              <w:jc w:val="center"/>
            </w:pPr>
            <w:r>
              <w:t>Не применимо</w:t>
            </w:r>
          </w:p>
        </w:tc>
      </w:tr>
    </w:tbl>
    <w:p w:rsidR="00D37325" w:rsidRDefault="00D37325">
      <w:pPr>
        <w:pStyle w:val="ConsPlusNormal"/>
        <w:jc w:val="both"/>
      </w:pPr>
    </w:p>
    <w:p w:rsidR="00D37325" w:rsidRDefault="00D37325">
      <w:pPr>
        <w:pStyle w:val="ConsPlusNormal"/>
        <w:ind w:firstLine="540"/>
        <w:jc w:val="both"/>
      </w:pPr>
      <w:r>
        <w:t xml:space="preserve">Для объекта информационной инфраструктуры, указанного в </w:t>
      </w:r>
      <w:hyperlink w:anchor="P426">
        <w:r>
          <w:rPr>
            <w:color w:val="0000FF"/>
          </w:rPr>
          <w:t>атрибуте</w:t>
        </w:r>
      </w:hyperlink>
      <w:r>
        <w:t xml:space="preserve"> "Наименование ИТ-продукта", который является программным обеспечением или свободным программным обеспечением (Open Source), следует указать код, соответствующий расшифровке кода "Не применимо".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2.5.7. Атрибут "Класс программного обеспечения".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 xml:space="preserve">В атрибуте "Класс программного обеспечения" указывается соответствующая категория объекта информационной инфраструктуры, указанного в </w:t>
      </w:r>
      <w:hyperlink w:anchor="P426">
        <w:r>
          <w:rPr>
            <w:color w:val="0000FF"/>
          </w:rPr>
          <w:t>атрибуте</w:t>
        </w:r>
      </w:hyperlink>
      <w:r>
        <w:t xml:space="preserve"> "Наименование ИТ-продукта", применимая к свободному программному обеспечению (Open Source), программному обеспечению и программному обеспечению в составе программно-аппаратного комплекса, которые используются в указанной автоматизированной системе. Атрибут включает в себя следующие типы объектов информационной инфраструктуры: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сетевые приложения и сервисы;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серверные компоненты виртуализации, программные инфраструктурные сервисы;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операционные системы, системы управления базами данных, сервера приложений.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Атрибут "Класс программного обеспечения" заполняется с использованием следующих кодов:</w:t>
      </w:r>
    </w:p>
    <w:p w:rsidR="00D37325" w:rsidRDefault="00D373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2"/>
        <w:gridCol w:w="7937"/>
      </w:tblGrid>
      <w:tr w:rsidR="00D37325">
        <w:tc>
          <w:tcPr>
            <w:tcW w:w="1142" w:type="dxa"/>
          </w:tcPr>
          <w:p w:rsidR="00D37325" w:rsidRDefault="00D3732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37" w:type="dxa"/>
          </w:tcPr>
          <w:p w:rsidR="00D37325" w:rsidRDefault="00D37325">
            <w:pPr>
              <w:pStyle w:val="ConsPlusNormal"/>
              <w:jc w:val="center"/>
            </w:pPr>
            <w:r>
              <w:t>Расшифровка кода</w:t>
            </w:r>
          </w:p>
        </w:tc>
      </w:tr>
      <w:tr w:rsidR="00D37325">
        <w:tc>
          <w:tcPr>
            <w:tcW w:w="1142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Клс1</w:t>
            </w:r>
          </w:p>
        </w:tc>
        <w:tc>
          <w:tcPr>
            <w:tcW w:w="7937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Операционные системы</w:t>
            </w:r>
          </w:p>
        </w:tc>
      </w:tr>
      <w:tr w:rsidR="00D37325">
        <w:tc>
          <w:tcPr>
            <w:tcW w:w="1142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Клс2</w:t>
            </w:r>
          </w:p>
        </w:tc>
        <w:tc>
          <w:tcPr>
            <w:tcW w:w="7937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Системы виртуализации и контейнеризации</w:t>
            </w:r>
          </w:p>
        </w:tc>
      </w:tr>
      <w:tr w:rsidR="00D37325">
        <w:tc>
          <w:tcPr>
            <w:tcW w:w="1142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Клс3</w:t>
            </w:r>
          </w:p>
        </w:tc>
        <w:tc>
          <w:tcPr>
            <w:tcW w:w="7937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Средства управления базами данных</w:t>
            </w:r>
          </w:p>
        </w:tc>
      </w:tr>
      <w:tr w:rsidR="00D37325">
        <w:tc>
          <w:tcPr>
            <w:tcW w:w="1142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Клс4</w:t>
            </w:r>
          </w:p>
        </w:tc>
        <w:tc>
          <w:tcPr>
            <w:tcW w:w="7937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Средства управления процессами организации</w:t>
            </w:r>
          </w:p>
        </w:tc>
      </w:tr>
      <w:tr w:rsidR="00D37325">
        <w:tc>
          <w:tcPr>
            <w:tcW w:w="1142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Клс5</w:t>
            </w:r>
          </w:p>
        </w:tc>
        <w:tc>
          <w:tcPr>
            <w:tcW w:w="7937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Средства разработки программного обеспечения</w:t>
            </w:r>
          </w:p>
        </w:tc>
      </w:tr>
      <w:tr w:rsidR="00D37325">
        <w:tc>
          <w:tcPr>
            <w:tcW w:w="1142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Клс6</w:t>
            </w:r>
          </w:p>
        </w:tc>
        <w:tc>
          <w:tcPr>
            <w:tcW w:w="7937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Средства обеспечения информационной безопасности</w:t>
            </w:r>
          </w:p>
        </w:tc>
      </w:tr>
      <w:tr w:rsidR="00D37325">
        <w:tc>
          <w:tcPr>
            <w:tcW w:w="1142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Клс7</w:t>
            </w:r>
          </w:p>
        </w:tc>
        <w:tc>
          <w:tcPr>
            <w:tcW w:w="7937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Средства анализа данных</w:t>
            </w:r>
          </w:p>
        </w:tc>
      </w:tr>
      <w:tr w:rsidR="00D37325">
        <w:tc>
          <w:tcPr>
            <w:tcW w:w="1142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Клс8</w:t>
            </w:r>
          </w:p>
        </w:tc>
        <w:tc>
          <w:tcPr>
            <w:tcW w:w="7937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Офисные приложения</w:t>
            </w:r>
          </w:p>
        </w:tc>
      </w:tr>
      <w:tr w:rsidR="00D37325">
        <w:tc>
          <w:tcPr>
            <w:tcW w:w="1142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lastRenderedPageBreak/>
              <w:t>Клс9</w:t>
            </w:r>
          </w:p>
        </w:tc>
        <w:tc>
          <w:tcPr>
            <w:tcW w:w="7937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Управление ИТ-инфраструктурой</w:t>
            </w:r>
          </w:p>
        </w:tc>
      </w:tr>
      <w:tr w:rsidR="00D37325">
        <w:tc>
          <w:tcPr>
            <w:tcW w:w="1142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Клс10</w:t>
            </w:r>
          </w:p>
        </w:tc>
        <w:tc>
          <w:tcPr>
            <w:tcW w:w="7937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Информационные системы для решения специфических отраслевых задач</w:t>
            </w:r>
          </w:p>
        </w:tc>
      </w:tr>
      <w:tr w:rsidR="00D37325">
        <w:tc>
          <w:tcPr>
            <w:tcW w:w="1142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Клс99</w:t>
            </w:r>
          </w:p>
        </w:tc>
        <w:tc>
          <w:tcPr>
            <w:tcW w:w="7937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Не применимо</w:t>
            </w:r>
          </w:p>
        </w:tc>
      </w:tr>
    </w:tbl>
    <w:p w:rsidR="00D37325" w:rsidRDefault="00D37325">
      <w:pPr>
        <w:pStyle w:val="ConsPlusNormal"/>
        <w:jc w:val="both"/>
      </w:pPr>
    </w:p>
    <w:p w:rsidR="00D37325" w:rsidRDefault="00D37325">
      <w:pPr>
        <w:pStyle w:val="ConsPlusNormal"/>
        <w:ind w:firstLine="540"/>
        <w:jc w:val="both"/>
      </w:pPr>
      <w:r>
        <w:t xml:space="preserve">Для объекта информационной инфраструктуры, указанного в </w:t>
      </w:r>
      <w:hyperlink w:anchor="P426">
        <w:r>
          <w:rPr>
            <w:color w:val="0000FF"/>
          </w:rPr>
          <w:t>атрибуте</w:t>
        </w:r>
      </w:hyperlink>
      <w:r>
        <w:t xml:space="preserve"> "Наименование ИТ-продукта", который является оборудованием, следует указать код, соответствующий расшифровке кода "Не применимо".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2.5.8. Атрибут "Страна".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 xml:space="preserve">В атрибуте "Страна" для компании - разработчика объекта информационной инфраструктуры, указанной в </w:t>
      </w:r>
      <w:hyperlink w:anchor="P451">
        <w:r>
          <w:rPr>
            <w:color w:val="0000FF"/>
          </w:rPr>
          <w:t>атрибуте</w:t>
        </w:r>
      </w:hyperlink>
      <w:r>
        <w:t xml:space="preserve"> "Разработчик ИТ-продукта", следует указать цифровой код страны в соответствии с Общероссийским </w:t>
      </w:r>
      <w:hyperlink r:id="rId29">
        <w:r>
          <w:rPr>
            <w:color w:val="0000FF"/>
          </w:rPr>
          <w:t>классификатором</w:t>
        </w:r>
      </w:hyperlink>
      <w:r>
        <w:t xml:space="preserve"> стран мира, утвержденным постановлением Госстандарта России от 14.12.2001 N 529-ст.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 xml:space="preserve">Для объекта информационной инфраструктуры, указанного в </w:t>
      </w:r>
      <w:hyperlink w:anchor="P426">
        <w:r>
          <w:rPr>
            <w:color w:val="0000FF"/>
          </w:rPr>
          <w:t>атрибуте</w:t>
        </w:r>
      </w:hyperlink>
      <w:r>
        <w:t xml:space="preserve"> "Наименование ИТ-продукта", который является свободным программным обеспечением (Open Source), следует указать "Не применимо".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2.5.9. Атрибут "Наименование лицензии".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 xml:space="preserve">В атрибуте "Наименование лицензии" для объекта информационной инфраструктуры, указанного в </w:t>
      </w:r>
      <w:hyperlink w:anchor="P426">
        <w:r>
          <w:rPr>
            <w:color w:val="0000FF"/>
          </w:rPr>
          <w:t>атрибуте</w:t>
        </w:r>
      </w:hyperlink>
      <w:r>
        <w:t xml:space="preserve"> "Наименование ИТ-продукта", являющегося свободным программным обеспечением (Open Source), указывается специализированная лицензия. Примеры для заполнения данного атрибута приведены в </w:t>
      </w:r>
      <w:hyperlink w:anchor="P1321">
        <w:r>
          <w:rPr>
            <w:color w:val="0000FF"/>
          </w:rPr>
          <w:t>приложении 4</w:t>
        </w:r>
      </w:hyperlink>
      <w:r>
        <w:t xml:space="preserve"> к настоящим Методическим рекомендациям.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 xml:space="preserve">Для объекта информационной инфраструктуры, указанного в </w:t>
      </w:r>
      <w:hyperlink w:anchor="P426">
        <w:r>
          <w:rPr>
            <w:color w:val="0000FF"/>
          </w:rPr>
          <w:t>атрибуте</w:t>
        </w:r>
      </w:hyperlink>
      <w:r>
        <w:t xml:space="preserve"> "Наименование ИТ-продукта", который не является свободным программным обеспечением (Open Source), следует указать "Не применимо".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2.5.10. Атрибут "Тип лицензии".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 xml:space="preserve">В атрибуте "Тип лицензии" для объекта информационной инфраструктуры, являющегося свободным программным обеспечением (Open Source), указывается тип его лицензии. Примеры для заполнения данного атрибута приведены в </w:t>
      </w:r>
      <w:hyperlink w:anchor="P1395">
        <w:r>
          <w:rPr>
            <w:color w:val="0000FF"/>
          </w:rPr>
          <w:t>приложении 5</w:t>
        </w:r>
      </w:hyperlink>
      <w:r>
        <w:t xml:space="preserve"> к настоящим Методическим рекомендациям.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Атрибут "Тип лицензии" заполняется с использованием следующих кодов:</w:t>
      </w:r>
    </w:p>
    <w:p w:rsidR="00D37325" w:rsidRDefault="00D373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2"/>
        <w:gridCol w:w="7880"/>
      </w:tblGrid>
      <w:tr w:rsidR="00D37325">
        <w:tc>
          <w:tcPr>
            <w:tcW w:w="1142" w:type="dxa"/>
            <w:vAlign w:val="bottom"/>
          </w:tcPr>
          <w:p w:rsidR="00D37325" w:rsidRDefault="00D3732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80" w:type="dxa"/>
            <w:vAlign w:val="bottom"/>
          </w:tcPr>
          <w:p w:rsidR="00D37325" w:rsidRDefault="00D37325">
            <w:pPr>
              <w:pStyle w:val="ConsPlusNormal"/>
              <w:jc w:val="center"/>
            </w:pPr>
            <w:r>
              <w:t>Расшифровка кода</w:t>
            </w:r>
          </w:p>
        </w:tc>
      </w:tr>
      <w:tr w:rsidR="00D37325">
        <w:tc>
          <w:tcPr>
            <w:tcW w:w="1142" w:type="dxa"/>
            <w:vAlign w:val="bottom"/>
          </w:tcPr>
          <w:p w:rsidR="00D37325" w:rsidRDefault="00D37325">
            <w:pPr>
              <w:pStyle w:val="ConsPlusNormal"/>
              <w:jc w:val="center"/>
            </w:pPr>
            <w:r>
              <w:t>Лиц1</w:t>
            </w:r>
          </w:p>
        </w:tc>
        <w:tc>
          <w:tcPr>
            <w:tcW w:w="7880" w:type="dxa"/>
            <w:vAlign w:val="bottom"/>
          </w:tcPr>
          <w:p w:rsidR="00D37325" w:rsidRDefault="00D37325">
            <w:pPr>
              <w:pStyle w:val="ConsPlusNormal"/>
              <w:jc w:val="center"/>
            </w:pPr>
            <w:r>
              <w:t>Permissive (разрешительные)</w:t>
            </w:r>
          </w:p>
        </w:tc>
      </w:tr>
      <w:tr w:rsidR="00D37325">
        <w:tc>
          <w:tcPr>
            <w:tcW w:w="1142" w:type="dxa"/>
            <w:vAlign w:val="bottom"/>
          </w:tcPr>
          <w:p w:rsidR="00D37325" w:rsidRDefault="00D37325">
            <w:pPr>
              <w:pStyle w:val="ConsPlusNormal"/>
              <w:jc w:val="center"/>
            </w:pPr>
            <w:r>
              <w:t>Лиц2</w:t>
            </w:r>
          </w:p>
        </w:tc>
        <w:tc>
          <w:tcPr>
            <w:tcW w:w="7880" w:type="dxa"/>
            <w:vAlign w:val="bottom"/>
          </w:tcPr>
          <w:p w:rsidR="00D37325" w:rsidRDefault="00D37325">
            <w:pPr>
              <w:pStyle w:val="ConsPlusNormal"/>
              <w:jc w:val="center"/>
            </w:pPr>
            <w:r>
              <w:t>Weak Copyleft (условный копилефт)</w:t>
            </w:r>
          </w:p>
        </w:tc>
      </w:tr>
      <w:tr w:rsidR="00D37325">
        <w:tc>
          <w:tcPr>
            <w:tcW w:w="1142" w:type="dxa"/>
            <w:vAlign w:val="bottom"/>
          </w:tcPr>
          <w:p w:rsidR="00D37325" w:rsidRDefault="00D37325">
            <w:pPr>
              <w:pStyle w:val="ConsPlusNormal"/>
              <w:jc w:val="center"/>
            </w:pPr>
            <w:r>
              <w:t>Лиц3</w:t>
            </w:r>
          </w:p>
        </w:tc>
        <w:tc>
          <w:tcPr>
            <w:tcW w:w="7880" w:type="dxa"/>
            <w:vAlign w:val="bottom"/>
          </w:tcPr>
          <w:p w:rsidR="00D37325" w:rsidRDefault="00D37325">
            <w:pPr>
              <w:pStyle w:val="ConsPlusNormal"/>
              <w:jc w:val="center"/>
            </w:pPr>
            <w:r>
              <w:t>Copyleft (копилефт)</w:t>
            </w:r>
          </w:p>
        </w:tc>
      </w:tr>
      <w:tr w:rsidR="00D37325">
        <w:tc>
          <w:tcPr>
            <w:tcW w:w="1142" w:type="dxa"/>
            <w:vAlign w:val="bottom"/>
          </w:tcPr>
          <w:p w:rsidR="00D37325" w:rsidRDefault="00D37325">
            <w:pPr>
              <w:pStyle w:val="ConsPlusNormal"/>
              <w:jc w:val="center"/>
            </w:pPr>
            <w:r>
              <w:t>Лиц9</w:t>
            </w:r>
          </w:p>
        </w:tc>
        <w:tc>
          <w:tcPr>
            <w:tcW w:w="7880" w:type="dxa"/>
            <w:vAlign w:val="bottom"/>
          </w:tcPr>
          <w:p w:rsidR="00D37325" w:rsidRDefault="00D37325">
            <w:pPr>
              <w:pStyle w:val="ConsPlusNormal"/>
              <w:jc w:val="center"/>
            </w:pPr>
            <w:r>
              <w:t>Не применимо</w:t>
            </w:r>
          </w:p>
        </w:tc>
      </w:tr>
    </w:tbl>
    <w:p w:rsidR="00D37325" w:rsidRDefault="00D37325">
      <w:pPr>
        <w:pStyle w:val="ConsPlusNormal"/>
        <w:jc w:val="both"/>
      </w:pPr>
    </w:p>
    <w:p w:rsidR="00D37325" w:rsidRDefault="00D37325">
      <w:pPr>
        <w:pStyle w:val="ConsPlusNormal"/>
        <w:ind w:firstLine="540"/>
        <w:jc w:val="both"/>
      </w:pPr>
      <w:r>
        <w:t xml:space="preserve">Для объекта информационной инфраструктуры, указанного в </w:t>
      </w:r>
      <w:hyperlink w:anchor="P426">
        <w:r>
          <w:rPr>
            <w:color w:val="0000FF"/>
          </w:rPr>
          <w:t>атрибуте</w:t>
        </w:r>
      </w:hyperlink>
      <w:r>
        <w:t xml:space="preserve"> "Наименование ИТ-продукта", который не является свободным программным обеспечением (Open Source), следует указать код, соответствующий расшифровке кода "Не применимо".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lastRenderedPageBreak/>
        <w:t>2.5.11. Атрибут "Архитектура".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 xml:space="preserve">В атрибуте "Архитектура" указывается архитектура с определенным набором инструкций, на которой функционирует объект информационной инфраструктуры, указанный в </w:t>
      </w:r>
      <w:hyperlink w:anchor="P426">
        <w:r>
          <w:rPr>
            <w:color w:val="0000FF"/>
          </w:rPr>
          <w:t>атрибуте</w:t>
        </w:r>
      </w:hyperlink>
      <w:r>
        <w:t xml:space="preserve"> "Наименование ИТ-продукта", с использованием следующих кодов:</w:t>
      </w:r>
    </w:p>
    <w:p w:rsidR="00D37325" w:rsidRDefault="00D373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2"/>
        <w:gridCol w:w="7880"/>
      </w:tblGrid>
      <w:tr w:rsidR="00D37325">
        <w:tc>
          <w:tcPr>
            <w:tcW w:w="1142" w:type="dxa"/>
          </w:tcPr>
          <w:p w:rsidR="00D37325" w:rsidRDefault="00D3732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80" w:type="dxa"/>
          </w:tcPr>
          <w:p w:rsidR="00D37325" w:rsidRDefault="00D37325">
            <w:pPr>
              <w:pStyle w:val="ConsPlusNormal"/>
              <w:jc w:val="center"/>
            </w:pPr>
            <w:r>
              <w:t>Расшифровка кода</w:t>
            </w:r>
          </w:p>
        </w:tc>
      </w:tr>
      <w:tr w:rsidR="00D37325">
        <w:tc>
          <w:tcPr>
            <w:tcW w:w="1142" w:type="dxa"/>
          </w:tcPr>
          <w:p w:rsidR="00D37325" w:rsidRDefault="00D37325">
            <w:pPr>
              <w:pStyle w:val="ConsPlusNormal"/>
              <w:jc w:val="center"/>
            </w:pPr>
            <w:r>
              <w:t>Арх1</w:t>
            </w:r>
          </w:p>
        </w:tc>
        <w:tc>
          <w:tcPr>
            <w:tcW w:w="7880" w:type="dxa"/>
          </w:tcPr>
          <w:p w:rsidR="00D37325" w:rsidRDefault="00D37325">
            <w:pPr>
              <w:pStyle w:val="ConsPlusNormal"/>
              <w:jc w:val="center"/>
            </w:pPr>
            <w:r>
              <w:t>Монолитная архитектура</w:t>
            </w:r>
          </w:p>
        </w:tc>
      </w:tr>
      <w:tr w:rsidR="00D37325">
        <w:tc>
          <w:tcPr>
            <w:tcW w:w="1142" w:type="dxa"/>
          </w:tcPr>
          <w:p w:rsidR="00D37325" w:rsidRDefault="00D37325">
            <w:pPr>
              <w:pStyle w:val="ConsPlusNormal"/>
              <w:jc w:val="center"/>
            </w:pPr>
            <w:r>
              <w:t>Арх2.1</w:t>
            </w:r>
          </w:p>
        </w:tc>
        <w:tc>
          <w:tcPr>
            <w:tcW w:w="7880" w:type="dxa"/>
          </w:tcPr>
          <w:p w:rsidR="00D37325" w:rsidRDefault="00D37325">
            <w:pPr>
              <w:pStyle w:val="ConsPlusNormal"/>
              <w:jc w:val="center"/>
            </w:pPr>
            <w:r>
              <w:t>Двухзвенная архитектура (клиент)</w:t>
            </w:r>
          </w:p>
        </w:tc>
      </w:tr>
      <w:tr w:rsidR="00D37325">
        <w:tc>
          <w:tcPr>
            <w:tcW w:w="1142" w:type="dxa"/>
          </w:tcPr>
          <w:p w:rsidR="00D37325" w:rsidRDefault="00D37325">
            <w:pPr>
              <w:pStyle w:val="ConsPlusNormal"/>
              <w:jc w:val="center"/>
            </w:pPr>
            <w:r>
              <w:t>Арх2.2</w:t>
            </w:r>
          </w:p>
        </w:tc>
        <w:tc>
          <w:tcPr>
            <w:tcW w:w="7880" w:type="dxa"/>
          </w:tcPr>
          <w:p w:rsidR="00D37325" w:rsidRDefault="00D37325">
            <w:pPr>
              <w:pStyle w:val="ConsPlusNormal"/>
              <w:jc w:val="center"/>
            </w:pPr>
            <w:r>
              <w:t>Двухзвенная архитектура (сервер)</w:t>
            </w:r>
          </w:p>
        </w:tc>
      </w:tr>
      <w:tr w:rsidR="00D37325">
        <w:tc>
          <w:tcPr>
            <w:tcW w:w="1142" w:type="dxa"/>
          </w:tcPr>
          <w:p w:rsidR="00D37325" w:rsidRDefault="00D37325">
            <w:pPr>
              <w:pStyle w:val="ConsPlusNormal"/>
              <w:jc w:val="center"/>
            </w:pPr>
            <w:r>
              <w:t>Арх3.1</w:t>
            </w:r>
          </w:p>
        </w:tc>
        <w:tc>
          <w:tcPr>
            <w:tcW w:w="7880" w:type="dxa"/>
          </w:tcPr>
          <w:p w:rsidR="00D37325" w:rsidRDefault="00D37325">
            <w:pPr>
              <w:pStyle w:val="ConsPlusNormal"/>
              <w:jc w:val="center"/>
            </w:pPr>
            <w:r>
              <w:t>Трехзвенная архитектура (клиент)</w:t>
            </w:r>
          </w:p>
        </w:tc>
      </w:tr>
      <w:tr w:rsidR="00D37325">
        <w:tc>
          <w:tcPr>
            <w:tcW w:w="1142" w:type="dxa"/>
          </w:tcPr>
          <w:p w:rsidR="00D37325" w:rsidRDefault="00D37325">
            <w:pPr>
              <w:pStyle w:val="ConsPlusNormal"/>
              <w:jc w:val="center"/>
            </w:pPr>
            <w:r>
              <w:t>Арх3.2</w:t>
            </w:r>
          </w:p>
        </w:tc>
        <w:tc>
          <w:tcPr>
            <w:tcW w:w="7880" w:type="dxa"/>
          </w:tcPr>
          <w:p w:rsidR="00D37325" w:rsidRDefault="00D37325">
            <w:pPr>
              <w:pStyle w:val="ConsPlusNormal"/>
              <w:jc w:val="center"/>
            </w:pPr>
            <w:r>
              <w:t>Трехзвенная архитектура (сервер СУБД)</w:t>
            </w:r>
          </w:p>
        </w:tc>
      </w:tr>
      <w:tr w:rsidR="00D37325">
        <w:tc>
          <w:tcPr>
            <w:tcW w:w="1142" w:type="dxa"/>
          </w:tcPr>
          <w:p w:rsidR="00D37325" w:rsidRDefault="00D37325">
            <w:pPr>
              <w:pStyle w:val="ConsPlusNormal"/>
              <w:jc w:val="center"/>
            </w:pPr>
            <w:r>
              <w:t>Арх3.3</w:t>
            </w:r>
          </w:p>
        </w:tc>
        <w:tc>
          <w:tcPr>
            <w:tcW w:w="7880" w:type="dxa"/>
          </w:tcPr>
          <w:p w:rsidR="00D37325" w:rsidRDefault="00D37325">
            <w:pPr>
              <w:pStyle w:val="ConsPlusNormal"/>
              <w:jc w:val="center"/>
            </w:pPr>
            <w:r>
              <w:t>Трехзвенная архитектура (сервер приложений)</w:t>
            </w:r>
          </w:p>
        </w:tc>
      </w:tr>
      <w:tr w:rsidR="00D37325">
        <w:tc>
          <w:tcPr>
            <w:tcW w:w="1142" w:type="dxa"/>
          </w:tcPr>
          <w:p w:rsidR="00D37325" w:rsidRDefault="00D37325">
            <w:pPr>
              <w:pStyle w:val="ConsPlusNormal"/>
              <w:jc w:val="center"/>
            </w:pPr>
            <w:r>
              <w:t>Арх4</w:t>
            </w:r>
          </w:p>
        </w:tc>
        <w:tc>
          <w:tcPr>
            <w:tcW w:w="7880" w:type="dxa"/>
          </w:tcPr>
          <w:p w:rsidR="00D37325" w:rsidRDefault="00D37325">
            <w:pPr>
              <w:pStyle w:val="ConsPlusNormal"/>
              <w:jc w:val="center"/>
            </w:pPr>
            <w:r>
              <w:t>Микросервисная архитектура</w:t>
            </w:r>
          </w:p>
        </w:tc>
      </w:tr>
    </w:tbl>
    <w:p w:rsidR="00D37325" w:rsidRDefault="00D37325">
      <w:pPr>
        <w:pStyle w:val="ConsPlusNormal"/>
        <w:jc w:val="both"/>
      </w:pPr>
    </w:p>
    <w:p w:rsidR="00D37325" w:rsidRDefault="00D37325">
      <w:pPr>
        <w:pStyle w:val="ConsPlusNormal"/>
        <w:ind w:firstLine="540"/>
        <w:jc w:val="both"/>
      </w:pPr>
      <w:r>
        <w:t>Монолитная архитектура предполагает размещение всех необходимых компонентов для программного приложения или технологии на одном сервере.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Двухзвенная архитектура предполагает размещение прикладных программ на сервере приложений, а на рабочих станциях - программ клиентов, которые предоставляют для пользователей интерфейс для работы с приложениями.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Трехзвенная архитектура предполагает наличие в архитектурной модели программного комплекса трех типов компонентов: клиентских приложений, серверов приложений и серверов баз данных.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Микросервисная архитектура - сервис-ориентированная архитектура, направленная на взаимодействие связанных и легко изменяемых компонентов, являющихся отдельными сервисами.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В случае если объект информационной инфраструктуры (ИТ-продукт), находящийся в указанной автоматизированной системе, функционирует на одном уровне архитектуры и разных типах компонентов данной архитектуры, то следует указать все подходящие коды через символ "-" (прочерк).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2.5.12. Атрибут "Количество".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 xml:space="preserve">В атрибуте "Количество" указывается количество аппаратных и программно-аппаратных средств информационных технологий, указанных в </w:t>
      </w:r>
      <w:hyperlink w:anchor="P426">
        <w:r>
          <w:rPr>
            <w:color w:val="0000FF"/>
          </w:rPr>
          <w:t>атрибуте</w:t>
        </w:r>
      </w:hyperlink>
      <w:r>
        <w:t xml:space="preserve"> "Наименование ИТ-продукта" и задействованных финансовой организацией в указанной автоматизированной системе, с учетом запасов (например, 100-50, где 100 - количество активно применяемых объектов информационной инфраструктуры, 50 - количество запасов для объекта информационной инфраструктуры).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 xml:space="preserve">Для объекта информационной инфраструктуры, указанного в </w:t>
      </w:r>
      <w:hyperlink w:anchor="P426">
        <w:r>
          <w:rPr>
            <w:color w:val="0000FF"/>
          </w:rPr>
          <w:t>атрибуте</w:t>
        </w:r>
      </w:hyperlink>
      <w:r>
        <w:t xml:space="preserve"> "Наименование ИТ-продукта", который является программным обеспечением или свободным программным обеспечением (Open Source), следует указать "Не применимо".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2.5.13. Атрибут "Закупка".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lastRenderedPageBreak/>
        <w:t xml:space="preserve">В атрибуте "Закупка" указывается возможность закупки объекта информационной инфраструктуры, указанного в </w:t>
      </w:r>
      <w:hyperlink w:anchor="P426">
        <w:r>
          <w:rPr>
            <w:color w:val="0000FF"/>
          </w:rPr>
          <w:t>атрибуте</w:t>
        </w:r>
      </w:hyperlink>
      <w:r>
        <w:t xml:space="preserve"> "Наименование ИТ-продукта", с использованием следующих кодов:</w:t>
      </w:r>
    </w:p>
    <w:p w:rsidR="00D37325" w:rsidRDefault="00D373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2"/>
        <w:gridCol w:w="7880"/>
      </w:tblGrid>
      <w:tr w:rsidR="00D37325">
        <w:tc>
          <w:tcPr>
            <w:tcW w:w="1142" w:type="dxa"/>
          </w:tcPr>
          <w:p w:rsidR="00D37325" w:rsidRDefault="00D3732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80" w:type="dxa"/>
          </w:tcPr>
          <w:p w:rsidR="00D37325" w:rsidRDefault="00D37325">
            <w:pPr>
              <w:pStyle w:val="ConsPlusNormal"/>
              <w:jc w:val="center"/>
            </w:pPr>
            <w:r>
              <w:t>Расшифровка кода</w:t>
            </w:r>
          </w:p>
        </w:tc>
      </w:tr>
      <w:tr w:rsidR="00D37325">
        <w:tc>
          <w:tcPr>
            <w:tcW w:w="1142" w:type="dxa"/>
          </w:tcPr>
          <w:p w:rsidR="00D37325" w:rsidRDefault="00D37325">
            <w:pPr>
              <w:pStyle w:val="ConsPlusNormal"/>
              <w:jc w:val="center"/>
            </w:pPr>
            <w:r>
              <w:t>Закуп1</w:t>
            </w:r>
          </w:p>
        </w:tc>
        <w:tc>
          <w:tcPr>
            <w:tcW w:w="7880" w:type="dxa"/>
          </w:tcPr>
          <w:p w:rsidR="00D37325" w:rsidRDefault="00D37325">
            <w:pPr>
              <w:pStyle w:val="ConsPlusNormal"/>
              <w:jc w:val="center"/>
            </w:pPr>
            <w:r>
              <w:t>Да, посредством официального канала</w:t>
            </w:r>
          </w:p>
        </w:tc>
      </w:tr>
      <w:tr w:rsidR="00D37325">
        <w:tc>
          <w:tcPr>
            <w:tcW w:w="1142" w:type="dxa"/>
          </w:tcPr>
          <w:p w:rsidR="00D37325" w:rsidRDefault="00D37325">
            <w:pPr>
              <w:pStyle w:val="ConsPlusNormal"/>
              <w:jc w:val="center"/>
            </w:pPr>
            <w:r>
              <w:t>Закуп2</w:t>
            </w:r>
          </w:p>
        </w:tc>
        <w:tc>
          <w:tcPr>
            <w:tcW w:w="7880" w:type="dxa"/>
          </w:tcPr>
          <w:p w:rsidR="00D37325" w:rsidRDefault="00D37325">
            <w:pPr>
              <w:pStyle w:val="ConsPlusNormal"/>
              <w:jc w:val="center"/>
            </w:pPr>
            <w:r>
              <w:t>Да, посредством параллельного импорта</w:t>
            </w:r>
          </w:p>
        </w:tc>
      </w:tr>
      <w:tr w:rsidR="00D37325">
        <w:tc>
          <w:tcPr>
            <w:tcW w:w="1142" w:type="dxa"/>
          </w:tcPr>
          <w:p w:rsidR="00D37325" w:rsidRDefault="00D37325">
            <w:pPr>
              <w:pStyle w:val="ConsPlusNormal"/>
              <w:jc w:val="center"/>
            </w:pPr>
            <w:r>
              <w:t>Закуп3</w:t>
            </w:r>
          </w:p>
        </w:tc>
        <w:tc>
          <w:tcPr>
            <w:tcW w:w="7880" w:type="dxa"/>
          </w:tcPr>
          <w:p w:rsidR="00D37325" w:rsidRDefault="00D37325">
            <w:pPr>
              <w:pStyle w:val="ConsPlusNormal"/>
              <w:jc w:val="center"/>
            </w:pPr>
            <w:r>
              <w:t>Не требуется, собственная разработка</w:t>
            </w:r>
          </w:p>
        </w:tc>
      </w:tr>
      <w:tr w:rsidR="00D37325">
        <w:tc>
          <w:tcPr>
            <w:tcW w:w="1142" w:type="dxa"/>
          </w:tcPr>
          <w:p w:rsidR="00D37325" w:rsidRDefault="00D37325">
            <w:pPr>
              <w:pStyle w:val="ConsPlusNormal"/>
              <w:jc w:val="center"/>
            </w:pPr>
            <w:r>
              <w:t>Закуп4</w:t>
            </w:r>
          </w:p>
        </w:tc>
        <w:tc>
          <w:tcPr>
            <w:tcW w:w="7880" w:type="dxa"/>
          </w:tcPr>
          <w:p w:rsidR="00D37325" w:rsidRDefault="00D37325">
            <w:pPr>
              <w:pStyle w:val="ConsPlusNormal"/>
              <w:jc w:val="center"/>
            </w:pPr>
            <w:r>
              <w:t>Не требуется, свободное программное обеспечение</w:t>
            </w:r>
          </w:p>
        </w:tc>
      </w:tr>
      <w:tr w:rsidR="00D37325">
        <w:tc>
          <w:tcPr>
            <w:tcW w:w="1142" w:type="dxa"/>
          </w:tcPr>
          <w:p w:rsidR="00D37325" w:rsidRDefault="00D37325">
            <w:pPr>
              <w:pStyle w:val="ConsPlusNormal"/>
              <w:jc w:val="center"/>
            </w:pPr>
            <w:r>
              <w:t>Закуп5</w:t>
            </w:r>
          </w:p>
        </w:tc>
        <w:tc>
          <w:tcPr>
            <w:tcW w:w="7880" w:type="dxa"/>
          </w:tcPr>
          <w:p w:rsidR="00D37325" w:rsidRDefault="00D37325">
            <w:pPr>
              <w:pStyle w:val="ConsPlusNormal"/>
              <w:jc w:val="center"/>
            </w:pPr>
            <w:r>
              <w:t>Нет возможности</w:t>
            </w:r>
          </w:p>
        </w:tc>
      </w:tr>
    </w:tbl>
    <w:p w:rsidR="00D37325" w:rsidRDefault="00D37325">
      <w:pPr>
        <w:pStyle w:val="ConsPlusNormal"/>
        <w:jc w:val="both"/>
      </w:pPr>
    </w:p>
    <w:p w:rsidR="00D37325" w:rsidRDefault="00D37325">
      <w:pPr>
        <w:pStyle w:val="ConsPlusNormal"/>
        <w:ind w:firstLine="540"/>
        <w:jc w:val="both"/>
      </w:pPr>
      <w:r>
        <w:t>2.5.14. Атрибут "Техническая поддержка".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 xml:space="preserve">В атрибуте "Техническая поддержка" должна указываться возможность осуществления технической поддержки объекта информационной инфраструктуры, указанного в </w:t>
      </w:r>
      <w:hyperlink w:anchor="P426">
        <w:r>
          <w:rPr>
            <w:color w:val="0000FF"/>
          </w:rPr>
          <w:t>атрибуте</w:t>
        </w:r>
      </w:hyperlink>
      <w:r>
        <w:t xml:space="preserve"> "Наименование ИТ-продукта", с использованием следующих кодов:</w:t>
      </w:r>
    </w:p>
    <w:p w:rsidR="00D37325" w:rsidRDefault="00D373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7654"/>
      </w:tblGrid>
      <w:tr w:rsidR="00D37325">
        <w:tc>
          <w:tcPr>
            <w:tcW w:w="1417" w:type="dxa"/>
          </w:tcPr>
          <w:p w:rsidR="00D37325" w:rsidRDefault="00D3732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Расшифровка кода</w:t>
            </w:r>
          </w:p>
        </w:tc>
      </w:tr>
      <w:tr w:rsidR="00D37325">
        <w:tc>
          <w:tcPr>
            <w:tcW w:w="1417" w:type="dxa"/>
          </w:tcPr>
          <w:p w:rsidR="00D37325" w:rsidRDefault="00D37325">
            <w:pPr>
              <w:pStyle w:val="ConsPlusNormal"/>
              <w:jc w:val="center"/>
            </w:pPr>
            <w:r>
              <w:t>Поддерж1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Да, осуществляется официальным разработчиком</w:t>
            </w:r>
          </w:p>
        </w:tc>
      </w:tr>
      <w:tr w:rsidR="00D37325">
        <w:tc>
          <w:tcPr>
            <w:tcW w:w="1417" w:type="dxa"/>
          </w:tcPr>
          <w:p w:rsidR="00D37325" w:rsidRDefault="00D37325">
            <w:pPr>
              <w:pStyle w:val="ConsPlusNormal"/>
              <w:jc w:val="center"/>
            </w:pPr>
            <w:r>
              <w:t>Поддерж2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Да, осуществляется сторонней организацией</w:t>
            </w:r>
          </w:p>
        </w:tc>
      </w:tr>
      <w:tr w:rsidR="00D37325">
        <w:tc>
          <w:tcPr>
            <w:tcW w:w="1417" w:type="dxa"/>
          </w:tcPr>
          <w:p w:rsidR="00D37325" w:rsidRDefault="00D37325">
            <w:pPr>
              <w:pStyle w:val="ConsPlusNormal"/>
              <w:jc w:val="center"/>
            </w:pPr>
            <w:r>
              <w:t>Поддерж3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Да, осуществляется самой финансовой организацией</w:t>
            </w:r>
          </w:p>
        </w:tc>
      </w:tr>
      <w:tr w:rsidR="00D37325">
        <w:tc>
          <w:tcPr>
            <w:tcW w:w="1417" w:type="dxa"/>
          </w:tcPr>
          <w:p w:rsidR="00D37325" w:rsidRDefault="00D37325">
            <w:pPr>
              <w:pStyle w:val="ConsPlusNormal"/>
              <w:jc w:val="center"/>
            </w:pPr>
            <w:r>
              <w:t>Поддерж4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Нет</w:t>
            </w:r>
          </w:p>
        </w:tc>
      </w:tr>
    </w:tbl>
    <w:p w:rsidR="00D37325" w:rsidRDefault="00D37325">
      <w:pPr>
        <w:pStyle w:val="ConsPlusNormal"/>
        <w:jc w:val="both"/>
      </w:pPr>
    </w:p>
    <w:p w:rsidR="00D37325" w:rsidRDefault="00D37325">
      <w:pPr>
        <w:pStyle w:val="ConsPlusNormal"/>
        <w:ind w:firstLine="540"/>
        <w:jc w:val="both"/>
      </w:pPr>
      <w:r>
        <w:t>2.5.15. Атрибут "Автономность".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 xml:space="preserve">В атрибуте "Автономность" должна указываться возможность работы без подключения к сети "Интернет" с сохранением функционала объекта информационной инфраструктуры, указанного в </w:t>
      </w:r>
      <w:hyperlink w:anchor="P426">
        <w:r>
          <w:rPr>
            <w:color w:val="0000FF"/>
          </w:rPr>
          <w:t>атрибуте</w:t>
        </w:r>
      </w:hyperlink>
      <w:r>
        <w:t xml:space="preserve"> "Наименование ИТ-продукта", с использованием следующих кодов:</w:t>
      </w:r>
    </w:p>
    <w:p w:rsidR="00D37325" w:rsidRDefault="00D373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7654"/>
      </w:tblGrid>
      <w:tr w:rsidR="00D37325">
        <w:tc>
          <w:tcPr>
            <w:tcW w:w="1417" w:type="dxa"/>
          </w:tcPr>
          <w:p w:rsidR="00D37325" w:rsidRDefault="00D3732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Расшифровка кода</w:t>
            </w:r>
          </w:p>
        </w:tc>
      </w:tr>
      <w:tr w:rsidR="00D37325">
        <w:tc>
          <w:tcPr>
            <w:tcW w:w="1417" w:type="dxa"/>
          </w:tcPr>
          <w:p w:rsidR="00D37325" w:rsidRDefault="00D37325">
            <w:pPr>
              <w:pStyle w:val="ConsPlusNormal"/>
              <w:jc w:val="center"/>
            </w:pPr>
            <w:r>
              <w:t>Авт1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Да</w:t>
            </w:r>
          </w:p>
        </w:tc>
      </w:tr>
      <w:tr w:rsidR="00D37325">
        <w:tc>
          <w:tcPr>
            <w:tcW w:w="1417" w:type="dxa"/>
          </w:tcPr>
          <w:p w:rsidR="00D37325" w:rsidRDefault="00D37325">
            <w:pPr>
              <w:pStyle w:val="ConsPlusNormal"/>
              <w:jc w:val="center"/>
            </w:pPr>
            <w:r>
              <w:t>Авт2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Нет</w:t>
            </w:r>
          </w:p>
        </w:tc>
      </w:tr>
    </w:tbl>
    <w:p w:rsidR="00D37325" w:rsidRDefault="00D37325">
      <w:pPr>
        <w:pStyle w:val="ConsPlusNormal"/>
        <w:jc w:val="both"/>
      </w:pPr>
    </w:p>
    <w:p w:rsidR="00D37325" w:rsidRDefault="00D37325">
      <w:pPr>
        <w:pStyle w:val="ConsPlusNormal"/>
        <w:ind w:firstLine="540"/>
        <w:jc w:val="both"/>
      </w:pPr>
      <w:r>
        <w:t>2.5.16. Атрибут "Обновление".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 xml:space="preserve">В атрибуте "Обновление" указывается возможность обновления объекта информационной инфраструктуры, указанного в </w:t>
      </w:r>
      <w:hyperlink w:anchor="P426">
        <w:r>
          <w:rPr>
            <w:color w:val="0000FF"/>
          </w:rPr>
          <w:t>атрибуте</w:t>
        </w:r>
      </w:hyperlink>
      <w:r>
        <w:t xml:space="preserve"> "Наименование ИТ-продукта", с использованием следующих кодов:</w:t>
      </w:r>
    </w:p>
    <w:p w:rsidR="00D37325" w:rsidRDefault="00D373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7654"/>
      </w:tblGrid>
      <w:tr w:rsidR="00D37325">
        <w:tc>
          <w:tcPr>
            <w:tcW w:w="1417" w:type="dxa"/>
          </w:tcPr>
          <w:p w:rsidR="00D37325" w:rsidRDefault="00D3732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Расшифровка кода</w:t>
            </w:r>
          </w:p>
        </w:tc>
      </w:tr>
      <w:tr w:rsidR="00D37325">
        <w:tc>
          <w:tcPr>
            <w:tcW w:w="1417" w:type="dxa"/>
          </w:tcPr>
          <w:p w:rsidR="00D37325" w:rsidRDefault="00D37325">
            <w:pPr>
              <w:pStyle w:val="ConsPlusNormal"/>
              <w:jc w:val="center"/>
            </w:pPr>
            <w:r>
              <w:t>Обнв1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Да, официальный канал</w:t>
            </w:r>
          </w:p>
        </w:tc>
      </w:tr>
      <w:tr w:rsidR="00D37325">
        <w:tc>
          <w:tcPr>
            <w:tcW w:w="1417" w:type="dxa"/>
          </w:tcPr>
          <w:p w:rsidR="00D37325" w:rsidRDefault="00D37325">
            <w:pPr>
              <w:pStyle w:val="ConsPlusNormal"/>
              <w:jc w:val="center"/>
            </w:pPr>
            <w:r>
              <w:lastRenderedPageBreak/>
              <w:t>Обнв2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Да, посредством параллельного импорта</w:t>
            </w:r>
          </w:p>
        </w:tc>
      </w:tr>
      <w:tr w:rsidR="00D37325">
        <w:tc>
          <w:tcPr>
            <w:tcW w:w="1417" w:type="dxa"/>
          </w:tcPr>
          <w:p w:rsidR="00D37325" w:rsidRDefault="00D37325">
            <w:pPr>
              <w:pStyle w:val="ConsPlusNormal"/>
              <w:jc w:val="center"/>
            </w:pPr>
            <w:r>
              <w:t>Обнв3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Да, собственная командная разработка</w:t>
            </w:r>
          </w:p>
        </w:tc>
      </w:tr>
      <w:tr w:rsidR="00D37325">
        <w:tc>
          <w:tcPr>
            <w:tcW w:w="1417" w:type="dxa"/>
          </w:tcPr>
          <w:p w:rsidR="00D37325" w:rsidRDefault="00D37325">
            <w:pPr>
              <w:pStyle w:val="ConsPlusNormal"/>
              <w:jc w:val="center"/>
            </w:pPr>
            <w:r>
              <w:t>Обнв4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Нет</w:t>
            </w:r>
          </w:p>
        </w:tc>
      </w:tr>
    </w:tbl>
    <w:p w:rsidR="00D37325" w:rsidRDefault="00D37325">
      <w:pPr>
        <w:pStyle w:val="ConsPlusNormal"/>
        <w:jc w:val="both"/>
      </w:pPr>
    </w:p>
    <w:p w:rsidR="00D37325" w:rsidRDefault="00D37325">
      <w:pPr>
        <w:pStyle w:val="ConsPlusNormal"/>
        <w:ind w:firstLine="540"/>
        <w:jc w:val="both"/>
      </w:pPr>
      <w:r>
        <w:t>2.5.17. Атрибут "Уязвимости".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 xml:space="preserve">В атрибуте "Уязвимости" указывается возможность устранения известных (описанных) уязвимостей объекта информационной инфраструктуры, указанного в </w:t>
      </w:r>
      <w:hyperlink w:anchor="P426">
        <w:r>
          <w:rPr>
            <w:color w:val="0000FF"/>
          </w:rPr>
          <w:t>атрибуте</w:t>
        </w:r>
      </w:hyperlink>
      <w:r>
        <w:t xml:space="preserve"> "Наименование ИТ-продукта", с использованием следующих кодов:</w:t>
      </w:r>
    </w:p>
    <w:p w:rsidR="00D37325" w:rsidRDefault="00D373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7654"/>
      </w:tblGrid>
      <w:tr w:rsidR="00D37325">
        <w:tc>
          <w:tcPr>
            <w:tcW w:w="1417" w:type="dxa"/>
            <w:vAlign w:val="bottom"/>
          </w:tcPr>
          <w:p w:rsidR="00D37325" w:rsidRDefault="00D3732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654" w:type="dxa"/>
            <w:vAlign w:val="bottom"/>
          </w:tcPr>
          <w:p w:rsidR="00D37325" w:rsidRDefault="00D37325">
            <w:pPr>
              <w:pStyle w:val="ConsPlusNormal"/>
              <w:jc w:val="center"/>
            </w:pPr>
            <w:r>
              <w:t>Расшифровка кода</w:t>
            </w:r>
          </w:p>
        </w:tc>
      </w:tr>
      <w:tr w:rsidR="00D37325">
        <w:tc>
          <w:tcPr>
            <w:tcW w:w="1417" w:type="dxa"/>
            <w:vAlign w:val="bottom"/>
          </w:tcPr>
          <w:p w:rsidR="00D37325" w:rsidRDefault="00D37325">
            <w:pPr>
              <w:pStyle w:val="ConsPlusNormal"/>
              <w:jc w:val="center"/>
            </w:pPr>
            <w:r>
              <w:t>Уязв1</w:t>
            </w:r>
          </w:p>
        </w:tc>
        <w:tc>
          <w:tcPr>
            <w:tcW w:w="7654" w:type="dxa"/>
            <w:vAlign w:val="bottom"/>
          </w:tcPr>
          <w:p w:rsidR="00D37325" w:rsidRDefault="00D37325">
            <w:pPr>
              <w:pStyle w:val="ConsPlusNormal"/>
              <w:jc w:val="center"/>
            </w:pPr>
            <w:r>
              <w:t>Да</w:t>
            </w:r>
          </w:p>
        </w:tc>
      </w:tr>
      <w:tr w:rsidR="00D37325">
        <w:tc>
          <w:tcPr>
            <w:tcW w:w="1417" w:type="dxa"/>
            <w:vAlign w:val="bottom"/>
          </w:tcPr>
          <w:p w:rsidR="00D37325" w:rsidRDefault="00D37325">
            <w:pPr>
              <w:pStyle w:val="ConsPlusNormal"/>
              <w:jc w:val="center"/>
            </w:pPr>
            <w:r>
              <w:t>Уязв2</w:t>
            </w:r>
          </w:p>
        </w:tc>
        <w:tc>
          <w:tcPr>
            <w:tcW w:w="7654" w:type="dxa"/>
            <w:vAlign w:val="bottom"/>
          </w:tcPr>
          <w:p w:rsidR="00D37325" w:rsidRDefault="00D37325">
            <w:pPr>
              <w:pStyle w:val="ConsPlusNormal"/>
              <w:jc w:val="center"/>
            </w:pPr>
            <w:r>
              <w:t>Нет</w:t>
            </w:r>
          </w:p>
        </w:tc>
      </w:tr>
    </w:tbl>
    <w:p w:rsidR="00D37325" w:rsidRDefault="00D37325">
      <w:pPr>
        <w:pStyle w:val="ConsPlusNormal"/>
        <w:jc w:val="both"/>
      </w:pPr>
    </w:p>
    <w:p w:rsidR="00D37325" w:rsidRDefault="00D37325">
      <w:pPr>
        <w:pStyle w:val="ConsPlusNormal"/>
        <w:ind w:firstLine="540"/>
        <w:jc w:val="both"/>
      </w:pPr>
      <w:r>
        <w:t>2.5.18. Атрибут "Управление".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 xml:space="preserve">В атрибуте "Управление" указывается наличие известного финансовой организации канала удаленного управления объектом информационной инфраструктуры, указанным в </w:t>
      </w:r>
      <w:hyperlink w:anchor="P426">
        <w:r>
          <w:rPr>
            <w:color w:val="0000FF"/>
          </w:rPr>
          <w:t>атрибуте</w:t>
        </w:r>
      </w:hyperlink>
      <w:r>
        <w:t xml:space="preserve"> "Наименование ИТ-продукта", с использованием следующих кодов:</w:t>
      </w:r>
    </w:p>
    <w:p w:rsidR="00D37325" w:rsidRDefault="00D373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7654"/>
      </w:tblGrid>
      <w:tr w:rsidR="00D37325">
        <w:tc>
          <w:tcPr>
            <w:tcW w:w="1417" w:type="dxa"/>
          </w:tcPr>
          <w:p w:rsidR="00D37325" w:rsidRDefault="00D3732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Расшифровка кода</w:t>
            </w:r>
          </w:p>
        </w:tc>
      </w:tr>
      <w:tr w:rsidR="00D37325">
        <w:tc>
          <w:tcPr>
            <w:tcW w:w="1417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Упр1</w:t>
            </w:r>
          </w:p>
        </w:tc>
        <w:tc>
          <w:tcPr>
            <w:tcW w:w="7654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Имеется канал удаленного управления. Финансовая организация не имеет возможности шифровать канал</w:t>
            </w:r>
          </w:p>
        </w:tc>
      </w:tr>
      <w:tr w:rsidR="00D37325">
        <w:tc>
          <w:tcPr>
            <w:tcW w:w="1417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Упр2</w:t>
            </w:r>
          </w:p>
        </w:tc>
        <w:tc>
          <w:tcPr>
            <w:tcW w:w="7654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Имеется канал удаленного управления. Финансовая организация имеет возможность шифровать канал и осуществлять его мониторинг</w:t>
            </w:r>
          </w:p>
        </w:tc>
      </w:tr>
      <w:tr w:rsidR="00D37325">
        <w:tc>
          <w:tcPr>
            <w:tcW w:w="1417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Упр3</w:t>
            </w:r>
          </w:p>
        </w:tc>
        <w:tc>
          <w:tcPr>
            <w:tcW w:w="7654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Отсутствует канал удаленного управления</w:t>
            </w:r>
          </w:p>
        </w:tc>
      </w:tr>
    </w:tbl>
    <w:p w:rsidR="00D37325" w:rsidRDefault="00D37325">
      <w:pPr>
        <w:pStyle w:val="ConsPlusNormal"/>
        <w:jc w:val="both"/>
      </w:pPr>
    </w:p>
    <w:p w:rsidR="00D37325" w:rsidRDefault="00D37325">
      <w:pPr>
        <w:pStyle w:val="ConsPlusNormal"/>
        <w:ind w:firstLine="540"/>
        <w:jc w:val="both"/>
      </w:pPr>
      <w:r>
        <w:t>2.5.19. Атрибут "Наличие сертификата ФСТЭК России".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 xml:space="preserve">В атрибуте "Наличие сертификата ФСТЭК России" указывается наличие сертификата ФСТЭК России, включенного в Государственный реестр сертифицированных средств защиты информации ФСТЭК России и размещенного на официальном сайте ФСТЭК России в сети "Интернет", у объекта информационной инфраструктуры, указанного в </w:t>
      </w:r>
      <w:hyperlink w:anchor="P426">
        <w:r>
          <w:rPr>
            <w:color w:val="0000FF"/>
          </w:rPr>
          <w:t>атрибуте</w:t>
        </w:r>
      </w:hyperlink>
      <w:r>
        <w:t xml:space="preserve"> "Наименование ИТ-продукта", с использованием следующих кодов:</w:t>
      </w:r>
    </w:p>
    <w:p w:rsidR="00D37325" w:rsidRDefault="00D373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7654"/>
      </w:tblGrid>
      <w:tr w:rsidR="00D37325">
        <w:tc>
          <w:tcPr>
            <w:tcW w:w="1417" w:type="dxa"/>
          </w:tcPr>
          <w:p w:rsidR="00D37325" w:rsidRDefault="00D3732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Расшифровка кода</w:t>
            </w:r>
          </w:p>
        </w:tc>
      </w:tr>
      <w:tr w:rsidR="00D37325">
        <w:tc>
          <w:tcPr>
            <w:tcW w:w="1417" w:type="dxa"/>
          </w:tcPr>
          <w:p w:rsidR="00D37325" w:rsidRDefault="00D37325">
            <w:pPr>
              <w:pStyle w:val="ConsPlusNormal"/>
              <w:jc w:val="center"/>
            </w:pPr>
            <w:r>
              <w:t>ФСТЭК1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Да</w:t>
            </w:r>
          </w:p>
        </w:tc>
      </w:tr>
      <w:tr w:rsidR="00D37325">
        <w:tc>
          <w:tcPr>
            <w:tcW w:w="1417" w:type="dxa"/>
          </w:tcPr>
          <w:p w:rsidR="00D37325" w:rsidRDefault="00D37325">
            <w:pPr>
              <w:pStyle w:val="ConsPlusNormal"/>
              <w:jc w:val="center"/>
            </w:pPr>
            <w:r>
              <w:t>ФСТЭК2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Нет</w:t>
            </w:r>
          </w:p>
        </w:tc>
      </w:tr>
      <w:tr w:rsidR="00D37325">
        <w:tc>
          <w:tcPr>
            <w:tcW w:w="1417" w:type="dxa"/>
          </w:tcPr>
          <w:p w:rsidR="00D37325" w:rsidRDefault="00D37325">
            <w:pPr>
              <w:pStyle w:val="ConsPlusNormal"/>
              <w:jc w:val="center"/>
            </w:pPr>
            <w:r>
              <w:t>ФСТЭК9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Не применимо</w:t>
            </w:r>
          </w:p>
        </w:tc>
      </w:tr>
    </w:tbl>
    <w:p w:rsidR="00D37325" w:rsidRDefault="00D37325">
      <w:pPr>
        <w:pStyle w:val="ConsPlusNormal"/>
        <w:jc w:val="both"/>
      </w:pPr>
    </w:p>
    <w:p w:rsidR="00D37325" w:rsidRDefault="00D37325">
      <w:pPr>
        <w:pStyle w:val="ConsPlusNormal"/>
        <w:ind w:firstLine="540"/>
        <w:jc w:val="both"/>
      </w:pPr>
      <w:r>
        <w:t xml:space="preserve">Для объекта информационной инфраструктуры, указанного в </w:t>
      </w:r>
      <w:hyperlink w:anchor="P426">
        <w:r>
          <w:rPr>
            <w:color w:val="0000FF"/>
          </w:rPr>
          <w:t>атрибуте</w:t>
        </w:r>
      </w:hyperlink>
      <w:r>
        <w:t xml:space="preserve"> "Наименование ИТ-продукта", который не является программно-аппаратным комплексом, следует указать код, соответствующий расшифровке кода "Не применимо".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lastRenderedPageBreak/>
        <w:t>2.5.20. Атрибут "Номер сертификата ФСТЭК России".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 xml:space="preserve">В атрибуте "Номер сертификата ФСТЭК России" указывается номер сертификата ФСТЭК России, включенного в Государственный реестр сертифицированных средств защиты информации ФСТЭК России и размещенного на официальном сайте ФСТЭК в сети "Интернет", у объекта информационной инфраструктуры, указанного в </w:t>
      </w:r>
      <w:hyperlink w:anchor="P426">
        <w:r>
          <w:rPr>
            <w:color w:val="0000FF"/>
          </w:rPr>
          <w:t>атрибуте</w:t>
        </w:r>
      </w:hyperlink>
      <w:r>
        <w:t xml:space="preserve"> "Наименование ИТ-продукта". При условии отсутствия сертификата ФСТЭК России следует указать "Отсутствует".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 xml:space="preserve">Для объекта информационной инфраструктуры, указанного в </w:t>
      </w:r>
      <w:hyperlink w:anchor="P426">
        <w:r>
          <w:rPr>
            <w:color w:val="0000FF"/>
          </w:rPr>
          <w:t>атрибуте</w:t>
        </w:r>
      </w:hyperlink>
      <w:r>
        <w:t xml:space="preserve"> "Наименование ИТ-продукта", который не является программно-аппаратным комплексом, следует указать "Не применимо".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2.5.21. Атрибут "Наличие сертификата ФСБ России".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 xml:space="preserve">В атрибуте "Наличие сертификата ФСБ России" указывается о наличии сертификата ФСБ России, включенного в перечень средств защиты информации, сертифицированных ФСБ России, и размещенного на официальном сайте ФСБ России в сети "Интернет", у объекта информационной инфраструктуры, указанного в </w:t>
      </w:r>
      <w:hyperlink w:anchor="P426">
        <w:r>
          <w:rPr>
            <w:color w:val="0000FF"/>
          </w:rPr>
          <w:t>атрибуте</w:t>
        </w:r>
      </w:hyperlink>
      <w:r>
        <w:t xml:space="preserve"> "Наименование ИТ-продукта", с использованием следующих кодов:</w:t>
      </w:r>
    </w:p>
    <w:p w:rsidR="00D37325" w:rsidRDefault="00D373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7654"/>
      </w:tblGrid>
      <w:tr w:rsidR="00D37325">
        <w:tc>
          <w:tcPr>
            <w:tcW w:w="1417" w:type="dxa"/>
          </w:tcPr>
          <w:p w:rsidR="00D37325" w:rsidRDefault="00D3732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Расшифровка кода</w:t>
            </w:r>
          </w:p>
        </w:tc>
      </w:tr>
      <w:tr w:rsidR="00D37325">
        <w:tc>
          <w:tcPr>
            <w:tcW w:w="1417" w:type="dxa"/>
          </w:tcPr>
          <w:p w:rsidR="00D37325" w:rsidRDefault="00D37325">
            <w:pPr>
              <w:pStyle w:val="ConsPlusNormal"/>
              <w:jc w:val="center"/>
            </w:pPr>
            <w:r>
              <w:t>ФСБ1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Да</w:t>
            </w:r>
          </w:p>
        </w:tc>
      </w:tr>
      <w:tr w:rsidR="00D37325">
        <w:tc>
          <w:tcPr>
            <w:tcW w:w="1417" w:type="dxa"/>
          </w:tcPr>
          <w:p w:rsidR="00D37325" w:rsidRDefault="00D37325">
            <w:pPr>
              <w:pStyle w:val="ConsPlusNormal"/>
              <w:jc w:val="center"/>
            </w:pPr>
            <w:r>
              <w:t>ФСБ2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Нет</w:t>
            </w:r>
          </w:p>
        </w:tc>
      </w:tr>
      <w:tr w:rsidR="00D37325">
        <w:tc>
          <w:tcPr>
            <w:tcW w:w="1417" w:type="dxa"/>
          </w:tcPr>
          <w:p w:rsidR="00D37325" w:rsidRDefault="00D37325">
            <w:pPr>
              <w:pStyle w:val="ConsPlusNormal"/>
              <w:jc w:val="center"/>
            </w:pPr>
            <w:r>
              <w:t>ФСБ9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Не применимо</w:t>
            </w:r>
          </w:p>
        </w:tc>
      </w:tr>
    </w:tbl>
    <w:p w:rsidR="00D37325" w:rsidRDefault="00D37325">
      <w:pPr>
        <w:pStyle w:val="ConsPlusNormal"/>
        <w:jc w:val="both"/>
      </w:pPr>
    </w:p>
    <w:p w:rsidR="00D37325" w:rsidRDefault="00D37325">
      <w:pPr>
        <w:pStyle w:val="ConsPlusNormal"/>
        <w:ind w:firstLine="540"/>
        <w:jc w:val="both"/>
      </w:pPr>
      <w:r>
        <w:t xml:space="preserve">Для объекта информационной инфраструктуры, указанного в </w:t>
      </w:r>
      <w:hyperlink w:anchor="P426">
        <w:r>
          <w:rPr>
            <w:color w:val="0000FF"/>
          </w:rPr>
          <w:t>атрибуте</w:t>
        </w:r>
      </w:hyperlink>
      <w:r>
        <w:t xml:space="preserve"> "Наименование ИТ-продукта", который не является программно-аппаратным комплексом, следует указать код, соответствующий расшифровке кода "Не применимо".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2.5.22. Атрибут "Номер сертификата ФСБ России".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 xml:space="preserve">В атрибуте "Номер сертификата ФСБ России" указывается номер сертификата ФСБ России, включенного в перечень средств защиты информации, сертифицированных ФСБ России, и размещенного на официальном сайте ФСБ России в сети "Интернет", у объекта информационной инфраструктуры, указанного в </w:t>
      </w:r>
      <w:hyperlink w:anchor="P426">
        <w:r>
          <w:rPr>
            <w:color w:val="0000FF"/>
          </w:rPr>
          <w:t>атрибуте</w:t>
        </w:r>
      </w:hyperlink>
      <w:r>
        <w:t xml:space="preserve"> "Наименование ИТ-продукта". При условии отсутствия сертификата ФСБ России у программно-аппаратного комплекса следует указать "Отсутствует".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 xml:space="preserve">Для объекта информационной инфраструктуры, указанного в </w:t>
      </w:r>
      <w:hyperlink w:anchor="P426">
        <w:r>
          <w:rPr>
            <w:color w:val="0000FF"/>
          </w:rPr>
          <w:t>атрибуте</w:t>
        </w:r>
      </w:hyperlink>
      <w:r>
        <w:t xml:space="preserve"> "Наименование ИТ-продукта", который не является программно-аппаратным комплексом, следует указать "Не применимо".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2.5.23. Атрибут "Номер в реестре Минцифры России".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 xml:space="preserve">В атрибуте "Номер в реестре Минцифры России" указывается регистрационный номер программного обеспечения или программно-аппаратного комплекса в Едином реестре российских программ для электронных вычислительных машин и баз данных или Едином реестре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Федерации, </w:t>
      </w:r>
      <w:hyperlink r:id="rId30">
        <w:r>
          <w:rPr>
            <w:color w:val="0000FF"/>
          </w:rPr>
          <w:t>правила</w:t>
        </w:r>
      </w:hyperlink>
      <w:r>
        <w:t xml:space="preserve"> формирования и ведения которых утверждены постановлением Правительства Российской Федерации от 16.11.2015 N 1236 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 (далее - реестр Минцифры России). В случае если объект информационной инфраструктуры, </w:t>
      </w:r>
      <w:r>
        <w:lastRenderedPageBreak/>
        <w:t xml:space="preserve">указанный в </w:t>
      </w:r>
      <w:hyperlink w:anchor="P426">
        <w:r>
          <w:rPr>
            <w:color w:val="0000FF"/>
          </w:rPr>
          <w:t>атрибуте</w:t>
        </w:r>
      </w:hyperlink>
      <w:r>
        <w:t xml:space="preserve"> "Наименование ИТ-продукта", не внесен в реестр Минцифры России, то в данном атрибуте следует указать "Отсутствует".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 xml:space="preserve">Для объекта информационной инфраструктуры, указанного в </w:t>
      </w:r>
      <w:hyperlink w:anchor="P426">
        <w:r>
          <w:rPr>
            <w:color w:val="0000FF"/>
          </w:rPr>
          <w:t>атрибуте</w:t>
        </w:r>
      </w:hyperlink>
      <w:r>
        <w:t xml:space="preserve"> "Наименование ИТ-продукта", который является свободным программным обеспечением (Open Source) или оборудованием, следует указать "Не применимо".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2.5.24. Атрибут "Номер в реестре Минпромторга России".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 xml:space="preserve">В атрибуте "Номер в реестре Минпромторга России" указывается реестровый номер оборудования или программно-аппаратного комплекса в Едином реестре российской радиоэлектронной продукции, </w:t>
      </w:r>
      <w:hyperlink r:id="rId31">
        <w:r>
          <w:rPr>
            <w:color w:val="0000FF"/>
          </w:rPr>
          <w:t>правила</w:t>
        </w:r>
      </w:hyperlink>
      <w:r>
        <w:t xml:space="preserve"> формирования и ведения которого утверждены постановлением Правительства Российской Федерации от 10.07.2019 N 878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Федерации", или Реестре российской промышленной продукции, или Реестре евразийской промышленной продукции, порядок формирования и ведения которых утверждены </w:t>
      </w:r>
      <w:hyperlink r:id="rId32">
        <w:r>
          <w:rPr>
            <w:color w:val="0000FF"/>
          </w:rPr>
          <w:t>приказом</w:t>
        </w:r>
      </w:hyperlink>
      <w:r>
        <w:t xml:space="preserve"> Минпромторга России от 29.05.2020 N 1755 "Об утверждении порядка выдачи Министерством промышленности и торговли Российской Федерации разрешения на закупку происходящего из иностранного государства промышленного товара, положения об отраслевых экспертных советах при Министерстве промышленности и торговли Российской Федерации, порядка формирования и ведения реестра российской промышленной продукции, включая порядок предоставления выписки из него и ее форму, порядка формирования и ведения реестра евразийской промышленной продукции, включая порядок предоставления выписки из него и ее форму". В случае если объект информационной инфраструктуры, указанный в </w:t>
      </w:r>
      <w:hyperlink w:anchor="P426">
        <w:r>
          <w:rPr>
            <w:color w:val="0000FF"/>
          </w:rPr>
          <w:t>атрибуте</w:t>
        </w:r>
      </w:hyperlink>
      <w:r>
        <w:t xml:space="preserve"> "Наименование ИТ-продукта", не внесен в реестр, то в данном атрибуте следует указать "Отсутствует".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 xml:space="preserve">Для объекта информационной инфраструктуры, указанного в </w:t>
      </w:r>
      <w:hyperlink w:anchor="P426">
        <w:r>
          <w:rPr>
            <w:color w:val="0000FF"/>
          </w:rPr>
          <w:t>атрибуте</w:t>
        </w:r>
      </w:hyperlink>
      <w:r>
        <w:t xml:space="preserve"> "Наименование ИТ-продукта", который является программным обеспечением или свободным программным обеспечением (Open Source), следует указать "Не применимо".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2.5.25. Атрибут "Дата внесения в реестр Минцифры России".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 xml:space="preserve">В атрибуте "Дата внесения в реестр Минцифры России" указывается дата решения о включении сведений о программном обеспечении или программно-аппаратном комплексе в реестр Минцифры России. В случае если объект информационной инфраструктуры, указанный в </w:t>
      </w:r>
      <w:hyperlink w:anchor="P426">
        <w:r>
          <w:rPr>
            <w:color w:val="0000FF"/>
          </w:rPr>
          <w:t>атрибуте</w:t>
        </w:r>
      </w:hyperlink>
      <w:r>
        <w:t xml:space="preserve"> "Наименование ИТ-продукта", не внесен в реестр Минцифры России, то в данном атрибуте следует указать "Отсутствует".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 xml:space="preserve">Для объекта информационной инфраструктуры, указанного в </w:t>
      </w:r>
      <w:hyperlink w:anchor="P426">
        <w:r>
          <w:rPr>
            <w:color w:val="0000FF"/>
          </w:rPr>
          <w:t>атрибуте</w:t>
        </w:r>
      </w:hyperlink>
      <w:r>
        <w:t xml:space="preserve"> "Наименование ИТ-продукта", который является свободным программным обеспечением (Open Source) или оборудованием, следует указать "Не применимо".</w:t>
      </w:r>
    </w:p>
    <w:p w:rsidR="00D37325" w:rsidRDefault="00D37325">
      <w:pPr>
        <w:pStyle w:val="ConsPlusNormal"/>
        <w:ind w:firstLine="540"/>
        <w:jc w:val="both"/>
      </w:pPr>
    </w:p>
    <w:p w:rsidR="00D37325" w:rsidRDefault="00D37325">
      <w:pPr>
        <w:pStyle w:val="ConsPlusTitle"/>
        <w:ind w:firstLine="540"/>
        <w:jc w:val="both"/>
        <w:outlineLvl w:val="1"/>
      </w:pPr>
      <w:r>
        <w:t>Глава 3. Заключительные положения</w:t>
      </w:r>
    </w:p>
    <w:p w:rsidR="00D37325" w:rsidRDefault="00D37325">
      <w:pPr>
        <w:pStyle w:val="ConsPlusNormal"/>
        <w:ind w:firstLine="540"/>
        <w:jc w:val="both"/>
      </w:pPr>
    </w:p>
    <w:p w:rsidR="00D37325" w:rsidRDefault="00D37325">
      <w:pPr>
        <w:pStyle w:val="ConsPlusNormal"/>
        <w:ind w:firstLine="540"/>
        <w:jc w:val="both"/>
      </w:pPr>
      <w:r>
        <w:t>3.1. Настоящие Методические рекомендации подлежат опубликованию в "Вестнике Банка России" и размещению на официальном сайте Банка России в сети "Интернет".</w:t>
      </w:r>
    </w:p>
    <w:p w:rsidR="00D37325" w:rsidRDefault="00D37325">
      <w:pPr>
        <w:pStyle w:val="ConsPlusNormal"/>
        <w:jc w:val="both"/>
      </w:pPr>
    </w:p>
    <w:p w:rsidR="00D37325" w:rsidRDefault="00D37325">
      <w:pPr>
        <w:pStyle w:val="ConsPlusNormal"/>
        <w:jc w:val="right"/>
      </w:pPr>
      <w:r>
        <w:t>Заместитель Председателя</w:t>
      </w:r>
    </w:p>
    <w:p w:rsidR="00D37325" w:rsidRDefault="00D37325">
      <w:pPr>
        <w:pStyle w:val="ConsPlusNormal"/>
        <w:jc w:val="right"/>
      </w:pPr>
      <w:r>
        <w:t>Банка России</w:t>
      </w:r>
    </w:p>
    <w:p w:rsidR="00D37325" w:rsidRDefault="00D37325">
      <w:pPr>
        <w:pStyle w:val="ConsPlusNormal"/>
        <w:jc w:val="right"/>
      </w:pPr>
      <w:r>
        <w:t>Г.А.ЗУБАРЕВ</w:t>
      </w:r>
    </w:p>
    <w:p w:rsidR="00D37325" w:rsidRDefault="00D37325">
      <w:pPr>
        <w:pStyle w:val="ConsPlusNormal"/>
        <w:jc w:val="both"/>
      </w:pPr>
    </w:p>
    <w:p w:rsidR="00D37325" w:rsidRDefault="00D37325">
      <w:pPr>
        <w:pStyle w:val="ConsPlusNormal"/>
        <w:jc w:val="both"/>
      </w:pPr>
    </w:p>
    <w:p w:rsidR="00D37325" w:rsidRDefault="00D37325">
      <w:pPr>
        <w:pStyle w:val="ConsPlusNormal"/>
        <w:jc w:val="both"/>
      </w:pPr>
    </w:p>
    <w:p w:rsidR="00D37325" w:rsidRDefault="00D37325">
      <w:pPr>
        <w:pStyle w:val="ConsPlusNormal"/>
        <w:jc w:val="both"/>
      </w:pPr>
    </w:p>
    <w:p w:rsidR="00D37325" w:rsidRDefault="00D37325">
      <w:pPr>
        <w:pStyle w:val="ConsPlusNormal"/>
        <w:jc w:val="both"/>
      </w:pPr>
    </w:p>
    <w:p w:rsidR="00D37325" w:rsidRDefault="00D37325">
      <w:pPr>
        <w:pStyle w:val="ConsPlusNormal"/>
        <w:jc w:val="right"/>
        <w:outlineLvl w:val="0"/>
      </w:pPr>
      <w:r>
        <w:t>Приложение 1</w:t>
      </w:r>
    </w:p>
    <w:p w:rsidR="00D37325" w:rsidRDefault="00D37325">
      <w:pPr>
        <w:pStyle w:val="ConsPlusNormal"/>
        <w:jc w:val="right"/>
      </w:pPr>
      <w:r>
        <w:t>к Методическим рекомендациям</w:t>
      </w:r>
    </w:p>
    <w:p w:rsidR="00D37325" w:rsidRDefault="00D37325">
      <w:pPr>
        <w:pStyle w:val="ConsPlusNormal"/>
        <w:jc w:val="right"/>
      </w:pPr>
      <w:r>
        <w:t>по описанию наименований объектов</w:t>
      </w:r>
    </w:p>
    <w:p w:rsidR="00D37325" w:rsidRDefault="00D37325">
      <w:pPr>
        <w:pStyle w:val="ConsPlusNormal"/>
        <w:jc w:val="right"/>
      </w:pPr>
      <w:r>
        <w:t>информационной инфраструктуры</w:t>
      </w:r>
    </w:p>
    <w:p w:rsidR="00D37325" w:rsidRDefault="00D37325">
      <w:pPr>
        <w:pStyle w:val="ConsPlusNormal"/>
        <w:jc w:val="right"/>
      </w:pPr>
      <w:r>
        <w:t>от 20 декабря 2023 года N 18-МР</w:t>
      </w:r>
    </w:p>
    <w:p w:rsidR="00D37325" w:rsidRDefault="00D37325">
      <w:pPr>
        <w:pStyle w:val="ConsPlusNormal"/>
        <w:jc w:val="both"/>
      </w:pPr>
    </w:p>
    <w:p w:rsidR="00D37325" w:rsidRDefault="00D37325">
      <w:pPr>
        <w:pStyle w:val="ConsPlusTitle"/>
        <w:jc w:val="center"/>
      </w:pPr>
      <w:bookmarkStart w:id="6" w:name="P742"/>
      <w:bookmarkEnd w:id="6"/>
      <w:r>
        <w:t>ПРИМЕР</w:t>
      </w:r>
    </w:p>
    <w:p w:rsidR="00D37325" w:rsidRDefault="00D37325">
      <w:pPr>
        <w:pStyle w:val="ConsPlusTitle"/>
        <w:jc w:val="center"/>
      </w:pPr>
      <w:r>
        <w:t>ЗАПОЛНЕНИЯ ДЛЯ КРЕДИТНОЙ ОРГАНИЗАЦИИ ИЛИ НЕКРЕДИТНОЙ</w:t>
      </w:r>
    </w:p>
    <w:p w:rsidR="00D37325" w:rsidRDefault="00D37325">
      <w:pPr>
        <w:pStyle w:val="ConsPlusTitle"/>
        <w:jc w:val="center"/>
      </w:pPr>
      <w:r>
        <w:t>ФИНАНСОВОЙ ОРГАНИЗАЦИИ, КОТОРЫЕ ОБЯЗАНЫ СОБЛЮДАТЬ УСИЛЕННЫЙ</w:t>
      </w:r>
    </w:p>
    <w:p w:rsidR="00D37325" w:rsidRDefault="00D37325">
      <w:pPr>
        <w:pStyle w:val="ConsPlusTitle"/>
        <w:jc w:val="center"/>
      </w:pPr>
      <w:r>
        <w:t>ИЛИ СТАНДАРТНЫЙ УРОВЕНЬ ЗАЩИТЫ ИНФОРМАЦИИ В СООТВЕТСТВИИ</w:t>
      </w:r>
    </w:p>
    <w:p w:rsidR="00D37325" w:rsidRDefault="00D37325">
      <w:pPr>
        <w:pStyle w:val="ConsPlusTitle"/>
        <w:jc w:val="center"/>
      </w:pPr>
      <w:r>
        <w:t>С ПОДПУНКТОМ 3.1 ПУНКТА 3 ПОЛОЖЕНИЯ БАНКА РОССИИ</w:t>
      </w:r>
    </w:p>
    <w:p w:rsidR="00D37325" w:rsidRDefault="00D37325">
      <w:pPr>
        <w:pStyle w:val="ConsPlusTitle"/>
        <w:jc w:val="center"/>
      </w:pPr>
      <w:r>
        <w:t>ОТ 17.04.2019 N 683-П, ПОДПУНКТОМ 1.4.2 ИЛИ 1.4.3</w:t>
      </w:r>
    </w:p>
    <w:p w:rsidR="00D37325" w:rsidRDefault="00D37325">
      <w:pPr>
        <w:pStyle w:val="ConsPlusTitle"/>
        <w:jc w:val="center"/>
      </w:pPr>
      <w:r>
        <w:t>ПУНКТА 1.4 ПОЛОЖЕНИЯ БАНКА РОССИИ</w:t>
      </w:r>
    </w:p>
    <w:p w:rsidR="00D37325" w:rsidRDefault="00D37325">
      <w:pPr>
        <w:pStyle w:val="ConsPlusTitle"/>
        <w:jc w:val="center"/>
      </w:pPr>
      <w:r>
        <w:t>ОТ 20.04.2021 N 757-П</w:t>
      </w:r>
    </w:p>
    <w:p w:rsidR="00D37325" w:rsidRDefault="00D37325">
      <w:pPr>
        <w:pStyle w:val="ConsPlusNormal"/>
        <w:jc w:val="both"/>
      </w:pPr>
    </w:p>
    <w:p w:rsidR="00D37325" w:rsidRDefault="00D37325">
      <w:pPr>
        <w:pStyle w:val="ConsPlusNormal"/>
        <w:ind w:firstLine="540"/>
        <w:jc w:val="both"/>
      </w:pPr>
      <w:r>
        <w:t>ТпрКО8|Lekton Classic|ОУ|БфКО22|Фронт-офисная система учета с использованием пластиковых карт|lekton|Урв1|АС1|АС2|Windows 10|Прин1| Ри2|microsoft|21H2|Клсо99|Клс1|840|Не применимо|Лиц9|Арх3.1|Не применимо|Закуп5|Поддерж4|Авт1|Обнв4|Уязв1|Упр1|ФСТЭК9|Не применимо|ФСБ9|Не применимо|Отсутствует|Не применимо|Отсутствует</w:t>
      </w:r>
    </w:p>
    <w:p w:rsidR="00D37325" w:rsidRDefault="00D37325">
      <w:pPr>
        <w:pStyle w:val="ConsPlusNormal"/>
        <w:jc w:val="both"/>
      </w:pPr>
    </w:p>
    <w:p w:rsidR="00D37325" w:rsidRDefault="00D37325">
      <w:pPr>
        <w:pStyle w:val="ConsPlusNormal"/>
        <w:jc w:val="both"/>
      </w:pPr>
    </w:p>
    <w:p w:rsidR="00D37325" w:rsidRDefault="00D37325">
      <w:pPr>
        <w:pStyle w:val="ConsPlusNormal"/>
        <w:jc w:val="both"/>
      </w:pPr>
    </w:p>
    <w:p w:rsidR="00D37325" w:rsidRDefault="00D37325">
      <w:pPr>
        <w:pStyle w:val="ConsPlusNormal"/>
        <w:jc w:val="both"/>
      </w:pPr>
    </w:p>
    <w:p w:rsidR="00D37325" w:rsidRDefault="00D37325">
      <w:pPr>
        <w:pStyle w:val="ConsPlusNormal"/>
        <w:jc w:val="both"/>
      </w:pPr>
    </w:p>
    <w:p w:rsidR="00D37325" w:rsidRDefault="00D37325">
      <w:pPr>
        <w:pStyle w:val="ConsPlusNormal"/>
        <w:jc w:val="right"/>
        <w:outlineLvl w:val="0"/>
      </w:pPr>
      <w:r>
        <w:t>Приложение 2</w:t>
      </w:r>
    </w:p>
    <w:p w:rsidR="00D37325" w:rsidRDefault="00D37325">
      <w:pPr>
        <w:pStyle w:val="ConsPlusNormal"/>
        <w:jc w:val="right"/>
      </w:pPr>
      <w:r>
        <w:t>к Методическим рекомендациям</w:t>
      </w:r>
    </w:p>
    <w:p w:rsidR="00D37325" w:rsidRDefault="00D37325">
      <w:pPr>
        <w:pStyle w:val="ConsPlusNormal"/>
        <w:jc w:val="right"/>
      </w:pPr>
      <w:r>
        <w:t>по описанию наименований объектов</w:t>
      </w:r>
    </w:p>
    <w:p w:rsidR="00D37325" w:rsidRDefault="00D37325">
      <w:pPr>
        <w:pStyle w:val="ConsPlusNormal"/>
        <w:jc w:val="right"/>
      </w:pPr>
      <w:r>
        <w:t>информационной инфраструктуры</w:t>
      </w:r>
    </w:p>
    <w:p w:rsidR="00D37325" w:rsidRDefault="00D37325">
      <w:pPr>
        <w:pStyle w:val="ConsPlusNormal"/>
        <w:jc w:val="right"/>
      </w:pPr>
      <w:r>
        <w:t>от 20 декабря 2023 года N 18-МР</w:t>
      </w:r>
    </w:p>
    <w:p w:rsidR="00D37325" w:rsidRDefault="00D37325">
      <w:pPr>
        <w:pStyle w:val="ConsPlusNormal"/>
        <w:jc w:val="both"/>
      </w:pPr>
    </w:p>
    <w:p w:rsidR="00D37325" w:rsidRDefault="00D37325">
      <w:pPr>
        <w:pStyle w:val="ConsPlusTitle"/>
        <w:jc w:val="center"/>
      </w:pPr>
      <w:bookmarkStart w:id="7" w:name="P763"/>
      <w:bookmarkEnd w:id="7"/>
      <w:r>
        <w:t>РЕКОМЕНДУЕМЫЙ ПЕРЕЧЕНЬ БИЗНЕС-ФУНКЦИЙ</w:t>
      </w:r>
    </w:p>
    <w:p w:rsidR="00D37325" w:rsidRDefault="00D373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1"/>
        <w:gridCol w:w="7654"/>
      </w:tblGrid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bookmarkStart w:id="8" w:name="P765"/>
            <w:bookmarkEnd w:id="8"/>
            <w:r>
              <w:t>Код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Бизнес-функция</w:t>
            </w:r>
          </w:p>
        </w:tc>
      </w:tr>
      <w:tr w:rsidR="00D37325">
        <w:tc>
          <w:tcPr>
            <w:tcW w:w="9075" w:type="dxa"/>
            <w:gridSpan w:val="2"/>
          </w:tcPr>
          <w:p w:rsidR="00D37325" w:rsidRDefault="00D37325">
            <w:pPr>
              <w:pStyle w:val="ConsPlusNormal"/>
              <w:jc w:val="center"/>
              <w:outlineLvl w:val="1"/>
            </w:pPr>
            <w:r>
              <w:t>Кредитные организации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БфКО1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Интернет-банкинг ФЛ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БфКО2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Мобильный банкинг ФЛ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БфКО3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Кредитование ФЛ (фронт-офис)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БфКО4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Конвертация валют для ФЛ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БфКО5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Банковские карты для ФЛ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БфКО6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Обслуживание заемщиков, вкладчиков и держателей ПК (ФЛ)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БфКО7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CRM (фронт-офис)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lastRenderedPageBreak/>
              <w:t>БфКО8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Инвестпродукты для ФЛ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БфКО9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Расчетно-кассовое обслуживание ФЛ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БфКО10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KYC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БфКО11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Сопровождение сделок ФЛ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БфКО12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Кредитный конвейер (ФЛ)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БфКО13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Взаимодействие с БКИ (ФЛ)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БфКО14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Управление лимитами (ФЛ)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БфКО15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CRM (мидл-офис)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БфКО16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AML/FATCA/CRS (ФЛ)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БфКО17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Кредитный скоринг (ФЛ)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БфКО18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Расчет ПДН ФЛ (мидл-офис)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БфКО19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Кредитование ФЛ (бэк-офис)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БфКО20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Расчет ПДН ФЛ (бэк-офис)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БфКО21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Операции заемщиков, вкладчиков и держателей ПК (ФЛ)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БфКО22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Платежи и переводы ФЛ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БфКО23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Расчеты (ФЛ)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БфКО24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Расчетный центр (ФЛ)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БфКО25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Интернет-банкинг ЮЛ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БфКО26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Мобильный банкинг ЮЛ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БфКО27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Мобильный офис клиента (ЮЛ)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БфКО28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Кредитование ЮЛ (фронт-офис)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БфКО29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Клиентская конверсия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БфКО30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Конвертация валют для ЮЛ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БфКО31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Банковские карты для ЮЛ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БфКО32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Лизинг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БфКО33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Обслуживание заемщиков, вкладчиков и держателей ПК (ЮЛ)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БфКО34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Расчетно-кассовое обслуживание ЮЛ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БфКО35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Клиент-банк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БфКО36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Эквайринг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БфКО37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Аккредитивы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lastRenderedPageBreak/>
              <w:t>БфКО38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Факторинг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БфКО39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Сопровождение сделок ЮЛ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БфКО40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Кредитный конвейер (ЮЛ)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БфКО41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AML/CRS (ЮЛ)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БфКО42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Взаимодействие с БКИ (ЮЛ)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БфКО43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Кредитный скоринг (ЮЛ)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БфКО44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Управление лимитами (ЮЛ)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БфКО45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Расчет ПДН ЮЛ (мидл-офис)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БфКО46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Кредитование ЮЛ (бэк-офис)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БфКО47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Платежи и переводы ЮЛ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БфКО48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Расчет ПДН ЮЛ (бэк-офис)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БфКО49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Расчеты (ЮЛ)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БфКО50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Операции заемщиков, вкладчиков и держателей ПК (ЮЛ)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БфКО51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Расчетный центр (ЮЛ)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БфКО52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Инвест-банкинг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БфКО53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Монитор платежной позиции (инвест-банкинг)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БфКО54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Обеспечение инвест-банкинга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БфКО55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Управление лимитами (инвест-банкинг)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БфКО56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Конвертация валют (инвест-банкинг)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БфКО57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Финансовые активы и обязательства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БфКО58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Кадры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БфКО59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Управление рисками и комплаенс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БфКО60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Корпоративное управление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БфКО61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Информационная безопасность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БфКО62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IT-инфраструктура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БфКО63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Управленческая отчетность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БфКО64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Отчетность МСФО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БфКО65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Обязательная отчетность ЦБ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БфКО66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Аналитическая отчетность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БфКО67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Бухгалтерский учет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lastRenderedPageBreak/>
              <w:t>БфКО68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Налоговый учет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БфКО69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Административно-хозяйственная деятельность</w:t>
            </w:r>
          </w:p>
        </w:tc>
      </w:tr>
      <w:tr w:rsidR="00D37325">
        <w:tc>
          <w:tcPr>
            <w:tcW w:w="9075" w:type="dxa"/>
            <w:gridSpan w:val="2"/>
          </w:tcPr>
          <w:p w:rsidR="00D37325" w:rsidRDefault="00D37325">
            <w:pPr>
              <w:pStyle w:val="ConsPlusNormal"/>
              <w:jc w:val="center"/>
              <w:outlineLvl w:val="1"/>
            </w:pPr>
            <w:r>
              <w:t>Негосударственные пенсионные фонды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БфНПФ1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Негосударственное пенсионное обеспечение (НПО) (фронт-офис)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БфНПФ2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Обязательное пенсионное страхование (ОПС) (фронт-офис)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БфНПФ3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Личный интернет-кабинет и сайт (фронт-офис)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БфНПФ4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CRM (фронт-офис)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БфНПФ5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Негосударственное пенсионное обеспечение (НПО) (мидл-офис)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БфНПФ6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Обязательное пенсионное страхование (ОПС) (мидл-офис)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БфНПФ7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Личный интернет-кабинет и сайт (мидл-офис)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БфНПФ8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CRM (мидл-офис)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БфНПФ9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Назначение и выплата выкупных сумм правопреемникам (наследникам) по договорам ОПС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БфНПФ10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Расчет и выплата (перевод в другой НПФ) выкупной суммы или расторжение договора НПО и определение суммы НДФЛ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БфНПФ11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Учет движения средств пенсионных резервов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БфНПФ12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Назначение и выплата пенсионных накоплений застрахованным лицам по договорам ОПС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БфНПФ13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Работа с обращениями и контроль качества предоставляемого сервиса клиентам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БфНПФ14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Назначение и выплата негосударственной пенсии по договорам НПО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БфНПФ15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Закрытие договора с одновременным определением размера средств ПН, подлежащих переводу/Распоряжения о закрытии договора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БфНПФ16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Негосударственное пенсионное обеспечение (НПО) (административное управление)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БфНПФ17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Назначение и выплата негосударственной пенсии по договорам НПО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БфНПФ18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Назначение и выплата выкупных сумм вкладчикам (ЮЛ) по договорам НПО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БфНПФ19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Сопровождение договоров с партнерами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БфНПФ20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Информационное сопровождение операций по постпродажному обслуживанию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БфНПФ21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Расчет и выплата (перевод в другой НПФ) выкупной суммы при расторжении договора НПО и определение суммы НДФЛ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БфНПФ22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Доверительное управление пенсионными накоплениями (ПН) и пенсионными резервами (ПР)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lastRenderedPageBreak/>
              <w:t>БфНПФ23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Лицевые счета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БфНПФ24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Система электронного документооборота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БфНПФ25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Платежные документы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БфНПФ26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Передача средств пенсионных резервов управляющей организации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БфНПФ27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Размещение средств пенсионных резервов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БфНПФ28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Движение денежных средств по расчетным брокерским и депозитным счетам Фонда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БфНПФ29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Отчет о результатах деятельности Фонда (ежедневный)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БфНПФ30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Вывод средств пенсионных резервов и собственных средств Фонда из доверительного управления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БфНПФ31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Доверительное управление ПР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БфНПФ32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Самостоятельное размещение ПР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БфНПФ33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Аутентификация и идентификация клиентов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БфНПФ34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Формирование финансовых реестров для передачи средства ПН в НПФ (СФР) и реестра документов для формирования платежных поручений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БфНПФ35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Закрытие договора с одновременным определением размера средства ПН, подлежащих переводу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БфНПФ36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Получение и загрузка Уведомления о внесении изменений в ЕРЗЛ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БфНПФ37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Передача реестра документов для формирования платежных поручений в отдел бухгалтерии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БфНПФ38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Передача созданных финансовых реестров в другие НПФ и СФР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БфНПФ39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Персонифицированный учет средств пенсионных накоплений (ПН)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БфНПФ40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Надзорная отчетность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БфНПФ41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Операционная отчетность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БфНПФ42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Расчет и начисление на пенсионные счета дохода от размещения средств пенсионных резервов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БфНПФ43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Расчет прогноза пенсионных выплат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БфНПФ44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Финансы и обязательная отчетность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БфНПФ45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Бухгалтерский учет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БфНПФ46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Налоговый учет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БфНПФ47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Административно-хозяйственная деятельность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БфНПФ48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IT/Платформа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lastRenderedPageBreak/>
              <w:t>БфНПФ49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Проведение актуарного оценивания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БфНПФ50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Управление собственными средствами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БфНПФ51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Аутентификация и идентификация клиентов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БфНПФ52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Управление стратегией инвестирования пенсионных активов и взаимодействие с ДУ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БфНПФ53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Информационная безопасность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БфНПФ54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Управление рисками и комплаенс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БфНПФ55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Кадры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БфНПФ56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Управление ПОД/ФТ и ФРОМ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БфНПФ57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Внутренний контроль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БфНПФ58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Управление процессами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БфНПФ59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Документооборот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БфНПФ60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Управленческая отчетность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БфНПФ61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Обязательная отчетность ЦБ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БфНПФ62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Аналитическая отчетность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БфНПФ63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IT-инфраструктура</w:t>
            </w:r>
          </w:p>
        </w:tc>
      </w:tr>
      <w:tr w:rsidR="00D37325">
        <w:tc>
          <w:tcPr>
            <w:tcW w:w="9075" w:type="dxa"/>
            <w:gridSpan w:val="2"/>
          </w:tcPr>
          <w:p w:rsidR="00D37325" w:rsidRDefault="00D37325">
            <w:pPr>
              <w:pStyle w:val="ConsPlusNormal"/>
              <w:jc w:val="center"/>
              <w:outlineLvl w:val="1"/>
            </w:pPr>
            <w:r>
              <w:t>Страховые организации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БфСК1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Агентский канал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БфСК2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Офисный канал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БфСК3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Цифровой канал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БфСК4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Партнерский канал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БфСК5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Заключение договоров страхования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БфСК6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Сопровождение договоров страхования (фронт-офис)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БфСК7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CRM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БфСК8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Котировка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БфСК9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Андеррайтинг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БфСК10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Сопровождение договоров страхования (мидл-офис)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БфСК11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Маркетинг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БфСК12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Взаимодействие с партнерами (ЛПУ, ассистансы, СТОА, сервисные провайдеры)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БфСК13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Разработка новых продуктов, услуг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lastRenderedPageBreak/>
              <w:t>БфСК14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Перестрахование и сострахование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БфСК15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Управление проблемными активами и судебными процессами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БфСК16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Урегулирование убытков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БфСК17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Управление БСО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БфСК18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Учет договоров страхования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БфСК19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Управление взаимоотношениями с агентами/партнерами (агентские договоры, расчет и выплата комиссий)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БфСК20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Планирование и контроль продаж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БфСК21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Управление имуществом и АХД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БфСК22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Управленческая отчетность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БфСК23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Аналитическая отчетность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БфСК24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Отчетность МСФО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БфСК25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Надзорная отчетность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БфСК26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Бухгалтерский учет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БфСК27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Налоговый учет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БфСК28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Учет ПКД (первичной документации)/Архив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БфСК29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Планирование и контроль исполнения бюджетов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БфСК30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Казначейство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БфСК31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Документооборот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БфСК32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Управление инвестициями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БфСК33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Информационная безопасность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БфСК34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IT-инфраструктура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БфСК35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Кадры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БфСК36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Управление рисками и комплаенс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БфСК37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Обязательная отчетность ЦБ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БфСК38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Административно-хозяйственная деятельность</w:t>
            </w:r>
          </w:p>
        </w:tc>
      </w:tr>
      <w:tr w:rsidR="00D37325">
        <w:tc>
          <w:tcPr>
            <w:tcW w:w="9075" w:type="dxa"/>
            <w:gridSpan w:val="2"/>
          </w:tcPr>
          <w:p w:rsidR="00D37325" w:rsidRDefault="00D37325">
            <w:pPr>
              <w:pStyle w:val="ConsPlusNormal"/>
              <w:jc w:val="center"/>
              <w:outlineLvl w:val="1"/>
            </w:pPr>
            <w:r>
              <w:t>Некредитные финансовые организации, осуществляющие деятельность организатора торговли, центрального депозитария, клиринговую деятельность и деятельность по осуществлению функций центрального контрагента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БфИФР1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Предоставление Участниками клиринга ценных бумаг/денежных средств, необходимых для исполнения обязательств, возникших из Договоров с наступившими Датами исполнения (каналы)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lastRenderedPageBreak/>
              <w:t>БфИФР2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Дистанционное клиринговое обслуживание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БфИФР3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Направление поручения на зачисление, перевод, списание ценных бумаг, являющегося клиринговым обеспечением ИКО (каналы)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БфИФР4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Направление поручения на возврат денежных средств, являющегося клиринговым обеспечением ИКО (каналы)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БфИФР5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Прием и обработка зачислений/выводов денежных средств в Гарантийный фонд (ККО) (каналы)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БфИФР6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Зачисление, перевод денежных средств, являющихся клиринговым обеспечением ИКО (каналы)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БфИФР7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Определение обязательств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БфИФР8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Регистрация клиентов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БфИФР9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Направление поручения на зачисление, перевод, списание ценных бумаг, являющегося клиринговым обеспечением ИКО (фронт-офис)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БфИФР10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Депозитарная деятельность, включая деятельность центрального депозитария (фронт-офис)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БфИФР11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Направление поручения на возврат денежных средств, являющегося клиринговым обеспечением ИКО (фронт-офис)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БфИФР12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Прием и обработка зачислений/выводов денежных средств в Гарантийный фонд (ККО) (фронт-офис)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БфИФР13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Зачисление, перевод денежных средств, являющихся клиринговым обеспечением ИКО (фронт-офис)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БфИФР14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Депозитарная деятельность, включая деятельность центрального депозитария (мидл-офис)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БфИФР15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Направление поручения на зачисление, перевод, списание ценных бумаг, являющегося клиринговым обеспечением ИКО (мидл-офис)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БфИФР16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Направление поручения на возврат денежных средств, являющегося клиринговым обеспечением ИКО (мидл-офис)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БфИФР17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Прием и обработка зачислений/выводов денежных средств в Гарантийный фонд (ККО) (мидл-офис)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БфИФР18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Зачисление, перевод денежных средств, являющихся клиринговым обеспечением ИКО (мидл-офис)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БфИФР19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Формирование клирингового пула по договорам, заключаемым с участием и без участия Центрального контрагента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БфИФР20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Предоставление Участниками клиринга ценных бумаг/денежных средств, необходимых для исполнения обязательств, возникших из Договоров с наступившими Датами исполнения (бэк-офис)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БфИФР21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Определение итоговых нетто-обязательств и нетто-требований по обязательствам, возникшим из Договоров с наступившими Датами исполнения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lastRenderedPageBreak/>
              <w:t>БфИФР22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Определение итоговых нетто-обязательств и нетто-требований по денежным средствам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БфИФР23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Учет сделок ЦК и исполнение обязательств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БфИФР24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Направление поручения на зачисление, перевод, списание ценных бумаг, являющегося клиринговым обеспечением ИКО (бэк-офис)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БфИФР25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Главная книга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БфИФР26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Направление поручения на возврат денежных средств, являющегося клиринговым обеспечением ИКО (бэк-офис)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БфИФР27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Проведение расчетов по итоговым нетто-обязательствам и нетто-требованиям, определенным по обязательствам, возникшим из Договоров с наступившими Датами исполнения по всем сформированным клиринговым пулам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БфИФР28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Ведение реестра внебиржевых договоров (бэк-офис)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БфИФР29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Прием и обработка зачислений/выводов денежных средств в Гарантийный фонд (ККО) (бэк-офис)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БфИФР30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Зачисление, перевод денежных средств, являющихся клиринговым обеспечением ИКО (бэк-офис)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БфИФР31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Организация торгов (аналитика и отчетность)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БфИФР32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Определение подлежащих исполнению обязательств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БфИФР33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Совершение действий, направленных на исполнение подлежащих исполнению обязательств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БфИФР34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Раскрытие информации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БфИФР35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Направление поручения на возврат имущества, являющегося клиринговым обеспечением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БфИФР36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Организация торгов (экономика и финансы)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БфИФР37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Ведение реестра участников торгов и их клиентов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БфИФР38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Ведение реестра заявок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БфИФР39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Ведение реестра заключенных на организованных торгах договоров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БфИФР40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Ведение реестра внебиржевых договоров (экономика и финансы)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БфИФР41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Информационная безопасность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БфИФР42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Документооборот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БфИФР43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Финансовые активы и обязательства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БфИФР44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Управление рисками и комплаенс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БфИФР45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Кадры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БфИФР46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IT-инфраструктура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lastRenderedPageBreak/>
              <w:t>БфИФР47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Управленческая отчетность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БфИФР48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Обязательная отчетность ЦБ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БфИФР49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Аналитическая отчетность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БфИФР50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Бухгалтерский учет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БфИФР51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Налоговый учет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БфИФР52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Административно-хозяйственная деятельность</w:t>
            </w:r>
          </w:p>
        </w:tc>
      </w:tr>
      <w:tr w:rsidR="00D37325">
        <w:tc>
          <w:tcPr>
            <w:tcW w:w="9075" w:type="dxa"/>
            <w:gridSpan w:val="2"/>
          </w:tcPr>
          <w:p w:rsidR="00D37325" w:rsidRDefault="00D37325">
            <w:pPr>
              <w:pStyle w:val="ConsPlusNormal"/>
              <w:jc w:val="center"/>
              <w:outlineLvl w:val="1"/>
            </w:pPr>
            <w:r>
              <w:t>Иная бизнес-функция</w:t>
            </w:r>
          </w:p>
        </w:tc>
      </w:tr>
      <w:tr w:rsidR="00D37325">
        <w:tc>
          <w:tcPr>
            <w:tcW w:w="1421" w:type="dxa"/>
          </w:tcPr>
          <w:p w:rsidR="00D37325" w:rsidRDefault="00D37325">
            <w:pPr>
              <w:pStyle w:val="ConsPlusNormal"/>
              <w:jc w:val="center"/>
            </w:pPr>
            <w:r>
              <w:t>БфФО99</w:t>
            </w:r>
          </w:p>
        </w:tc>
        <w:tc>
          <w:tcPr>
            <w:tcW w:w="7654" w:type="dxa"/>
          </w:tcPr>
          <w:p w:rsidR="00D37325" w:rsidRDefault="00D37325">
            <w:pPr>
              <w:pStyle w:val="ConsPlusNormal"/>
              <w:jc w:val="center"/>
            </w:pPr>
            <w:r>
              <w:t>Иная бизнес-функция</w:t>
            </w:r>
          </w:p>
        </w:tc>
      </w:tr>
    </w:tbl>
    <w:p w:rsidR="00D37325" w:rsidRDefault="00D37325">
      <w:pPr>
        <w:pStyle w:val="ConsPlusNormal"/>
        <w:jc w:val="both"/>
      </w:pPr>
    </w:p>
    <w:p w:rsidR="00D37325" w:rsidRDefault="00D37325">
      <w:pPr>
        <w:pStyle w:val="ConsPlusTitle"/>
        <w:ind w:firstLine="540"/>
        <w:jc w:val="both"/>
        <w:outlineLvl w:val="1"/>
      </w:pPr>
      <w:r>
        <w:t>Список используемых сокращений: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ФЛ - физическое лицо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ЮЛ - юридическое лицо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ПК - пластиковая карта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CRM - управление взаимоотношениями с клиентами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KYC - знай своего клиента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ЦБ - Центральный банк Российской Федерации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AML - противодействие отмыванию денег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FATCA - закон о налогообложении иностранных счетов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CRS - единый стандарт отчетности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БКИ - бюро кредитных историй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ПДН - показатель долговой нагрузки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МСФО - международные стандарты финансовой отчетности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НПО - негосударственное пенсионное обеспечение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ОПС - обязательное пенсионное страхование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ПН - пенсионные накопления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ПР - пенсионные резервы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НПФ - негосударственный пенсионный фонд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СФР - Социальный фонд России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ЕРЗЛ - единый регистр застрахованных лиц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ДУ - доверительный управляющий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lastRenderedPageBreak/>
        <w:t>ПОД/ФТ и ФРОМ - предупреждение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ЛПУ - лечебно-профилактические учреждения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СТОА - станция технического обслуживания автомобилей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БСО - бланк строгой отчетности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АХД - анализ хозяйственной деятельности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ПКД - процентный купонный доход/пенсионный капитал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ИКО - индивидуальное клиринговое обеспечение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ККО - коллективное клиринговое обеспечение</w:t>
      </w:r>
    </w:p>
    <w:p w:rsidR="00D37325" w:rsidRDefault="00D37325">
      <w:pPr>
        <w:pStyle w:val="ConsPlusNormal"/>
        <w:spacing w:before="220"/>
        <w:ind w:firstLine="540"/>
        <w:jc w:val="both"/>
      </w:pPr>
      <w:r>
        <w:t>ЦК - центральный контрагент</w:t>
      </w:r>
    </w:p>
    <w:p w:rsidR="00D37325" w:rsidRDefault="00D37325">
      <w:pPr>
        <w:pStyle w:val="ConsPlusNormal"/>
        <w:jc w:val="both"/>
      </w:pPr>
    </w:p>
    <w:p w:rsidR="00D37325" w:rsidRDefault="00D37325">
      <w:pPr>
        <w:pStyle w:val="ConsPlusNormal"/>
        <w:jc w:val="both"/>
      </w:pPr>
    </w:p>
    <w:p w:rsidR="00D37325" w:rsidRDefault="00D37325">
      <w:pPr>
        <w:pStyle w:val="ConsPlusNormal"/>
        <w:jc w:val="both"/>
      </w:pPr>
    </w:p>
    <w:p w:rsidR="00D37325" w:rsidRDefault="00D37325">
      <w:pPr>
        <w:pStyle w:val="ConsPlusNormal"/>
        <w:jc w:val="both"/>
      </w:pPr>
    </w:p>
    <w:p w:rsidR="00D37325" w:rsidRDefault="00D37325">
      <w:pPr>
        <w:pStyle w:val="ConsPlusNormal"/>
        <w:jc w:val="both"/>
      </w:pPr>
    </w:p>
    <w:p w:rsidR="00D37325" w:rsidRDefault="00D37325">
      <w:pPr>
        <w:pStyle w:val="ConsPlusNormal"/>
        <w:jc w:val="right"/>
        <w:outlineLvl w:val="0"/>
      </w:pPr>
      <w:r>
        <w:t>Приложение 3</w:t>
      </w:r>
    </w:p>
    <w:p w:rsidR="00D37325" w:rsidRDefault="00D37325">
      <w:pPr>
        <w:pStyle w:val="ConsPlusNormal"/>
        <w:jc w:val="right"/>
      </w:pPr>
      <w:r>
        <w:t>к Методическим рекомендациям</w:t>
      </w:r>
    </w:p>
    <w:p w:rsidR="00D37325" w:rsidRDefault="00D37325">
      <w:pPr>
        <w:pStyle w:val="ConsPlusNormal"/>
        <w:jc w:val="right"/>
      </w:pPr>
      <w:r>
        <w:t>по описанию наименований объектов</w:t>
      </w:r>
    </w:p>
    <w:p w:rsidR="00D37325" w:rsidRDefault="00D37325">
      <w:pPr>
        <w:pStyle w:val="ConsPlusNormal"/>
        <w:jc w:val="right"/>
      </w:pPr>
      <w:r>
        <w:t>информационной инфраструктуры</w:t>
      </w:r>
    </w:p>
    <w:p w:rsidR="00D37325" w:rsidRDefault="00D37325">
      <w:pPr>
        <w:pStyle w:val="ConsPlusNormal"/>
        <w:jc w:val="right"/>
      </w:pPr>
      <w:r>
        <w:t>от 20 декабря 2023 года N 18-МР</w:t>
      </w:r>
    </w:p>
    <w:p w:rsidR="00D37325" w:rsidRDefault="00D37325">
      <w:pPr>
        <w:pStyle w:val="ConsPlusNormal"/>
        <w:jc w:val="both"/>
      </w:pPr>
    </w:p>
    <w:p w:rsidR="00D37325" w:rsidRDefault="00D37325">
      <w:pPr>
        <w:pStyle w:val="ConsPlusTitle"/>
        <w:jc w:val="center"/>
      </w:pPr>
      <w:bookmarkStart w:id="9" w:name="P1260"/>
      <w:bookmarkEnd w:id="9"/>
      <w:r>
        <w:t>ПРИМЕРЫ КОМПАНИЙ РАЗРАБОТЧИКОВ И ИХ ИТ-ПРОДУКТОВ</w:t>
      </w:r>
    </w:p>
    <w:p w:rsidR="00D37325" w:rsidRDefault="00D373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6"/>
        <w:gridCol w:w="4527"/>
      </w:tblGrid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t>Наименование (доменное имя) разработчика ИТ-продукта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Наименование ИТ-продукта</w:t>
            </w:r>
          </w:p>
        </w:tc>
      </w:tr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t>apache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Tomcat</w:t>
            </w:r>
          </w:p>
        </w:tc>
      </w:tr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t>avaya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Elite Multichannel</w:t>
            </w:r>
          </w:p>
        </w:tc>
      </w:tr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t>canonical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Ubuntu</w:t>
            </w:r>
          </w:p>
        </w:tc>
      </w:tr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t>cisco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ASR1001-X</w:t>
            </w:r>
          </w:p>
        </w:tc>
      </w:tr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t>cisco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C93180YC-FX</w:t>
            </w:r>
          </w:p>
        </w:tc>
      </w:tr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t>dell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PowerEdge R630</w:t>
            </w:r>
          </w:p>
        </w:tc>
      </w:tr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t>dell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XC6320-6</w:t>
            </w:r>
          </w:p>
        </w:tc>
      </w:tr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t>elastic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ElasticSearch</w:t>
            </w:r>
          </w:p>
        </w:tc>
      </w:tr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t>hpe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ProLiant DL 380e</w:t>
            </w:r>
          </w:p>
        </w:tc>
      </w:tr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t>hpe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HP-UX</w:t>
            </w:r>
          </w:p>
        </w:tc>
      </w:tr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t>hitachi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HNAS 4080</w:t>
            </w:r>
          </w:p>
        </w:tc>
      </w:tr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lastRenderedPageBreak/>
              <w:t>hitachi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VSP G700</w:t>
            </w:r>
          </w:p>
        </w:tc>
      </w:tr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t>jetbrains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DataGrip</w:t>
            </w:r>
          </w:p>
        </w:tc>
      </w:tr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t>microsoft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Windows 10</w:t>
            </w:r>
          </w:p>
        </w:tc>
      </w:tr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t>microsoft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Windows Server 2019</w:t>
            </w:r>
          </w:p>
        </w:tc>
      </w:tr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t>microsoft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SQL Server 2016</w:t>
            </w:r>
          </w:p>
        </w:tc>
      </w:tr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t>centos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Centos</w:t>
            </w:r>
          </w:p>
        </w:tc>
      </w:tr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t>oracle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Database</w:t>
            </w:r>
          </w:p>
        </w:tc>
      </w:tr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t>paloaltonetworks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PA-5220</w:t>
            </w:r>
          </w:p>
        </w:tc>
      </w:tr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t>redhat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Red Hat Enterprise Linux</w:t>
            </w:r>
          </w:p>
        </w:tc>
      </w:tr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t>vmware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ESXi</w:t>
            </w:r>
          </w:p>
        </w:tc>
      </w:tr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t>1c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1C: Предприятие</w:t>
            </w:r>
          </w:p>
        </w:tc>
      </w:tr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t>cryptopro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CSP</w:t>
            </w:r>
          </w:p>
        </w:tc>
      </w:tr>
    </w:tbl>
    <w:p w:rsidR="00D37325" w:rsidRDefault="00D37325">
      <w:pPr>
        <w:pStyle w:val="ConsPlusNormal"/>
        <w:jc w:val="both"/>
      </w:pPr>
    </w:p>
    <w:p w:rsidR="00D37325" w:rsidRDefault="00D37325">
      <w:pPr>
        <w:pStyle w:val="ConsPlusNormal"/>
        <w:jc w:val="both"/>
      </w:pPr>
    </w:p>
    <w:p w:rsidR="00D37325" w:rsidRDefault="00D37325">
      <w:pPr>
        <w:pStyle w:val="ConsPlusNormal"/>
        <w:jc w:val="both"/>
      </w:pPr>
    </w:p>
    <w:p w:rsidR="00D37325" w:rsidRDefault="00D37325">
      <w:pPr>
        <w:pStyle w:val="ConsPlusNormal"/>
        <w:jc w:val="both"/>
      </w:pPr>
    </w:p>
    <w:p w:rsidR="00D37325" w:rsidRDefault="00D37325">
      <w:pPr>
        <w:pStyle w:val="ConsPlusNormal"/>
        <w:jc w:val="both"/>
      </w:pPr>
    </w:p>
    <w:p w:rsidR="00D37325" w:rsidRDefault="00D37325">
      <w:pPr>
        <w:pStyle w:val="ConsPlusNormal"/>
        <w:jc w:val="right"/>
        <w:outlineLvl w:val="0"/>
      </w:pPr>
      <w:r>
        <w:t>Приложение 4</w:t>
      </w:r>
    </w:p>
    <w:p w:rsidR="00D37325" w:rsidRDefault="00D37325">
      <w:pPr>
        <w:pStyle w:val="ConsPlusNormal"/>
        <w:jc w:val="right"/>
      </w:pPr>
      <w:r>
        <w:t>к Методическим рекомендациям</w:t>
      </w:r>
    </w:p>
    <w:p w:rsidR="00D37325" w:rsidRDefault="00D37325">
      <w:pPr>
        <w:pStyle w:val="ConsPlusNormal"/>
        <w:jc w:val="right"/>
      </w:pPr>
      <w:r>
        <w:t>по описанию наименований объектов</w:t>
      </w:r>
    </w:p>
    <w:p w:rsidR="00D37325" w:rsidRDefault="00D37325">
      <w:pPr>
        <w:pStyle w:val="ConsPlusNormal"/>
        <w:jc w:val="right"/>
      </w:pPr>
      <w:r>
        <w:t>информационной инфраструктуры</w:t>
      </w:r>
    </w:p>
    <w:p w:rsidR="00D37325" w:rsidRDefault="00D37325">
      <w:pPr>
        <w:pStyle w:val="ConsPlusNormal"/>
        <w:jc w:val="right"/>
      </w:pPr>
      <w:r>
        <w:t>от 20 декабря 2023 года N 18-МР</w:t>
      </w:r>
    </w:p>
    <w:p w:rsidR="00D37325" w:rsidRDefault="00D37325">
      <w:pPr>
        <w:pStyle w:val="ConsPlusNormal"/>
        <w:jc w:val="both"/>
      </w:pPr>
    </w:p>
    <w:p w:rsidR="00D37325" w:rsidRDefault="00D37325">
      <w:pPr>
        <w:pStyle w:val="ConsPlusTitle"/>
        <w:jc w:val="center"/>
      </w:pPr>
      <w:bookmarkStart w:id="10" w:name="P1321"/>
      <w:bookmarkEnd w:id="10"/>
      <w:r>
        <w:t>ПРИМЕРЫ</w:t>
      </w:r>
    </w:p>
    <w:p w:rsidR="00D37325" w:rsidRDefault="00D37325">
      <w:pPr>
        <w:pStyle w:val="ConsPlusTitle"/>
        <w:jc w:val="center"/>
      </w:pPr>
      <w:r>
        <w:t>ЛИЦЕНЗИЙ СВОБОДНОГО ПРОГРАММНОГО ОБЕСПЕЧЕНИЯ (OPEN SOURCE)</w:t>
      </w:r>
    </w:p>
    <w:p w:rsidR="00D37325" w:rsidRDefault="00D373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6"/>
        <w:gridCol w:w="4527"/>
      </w:tblGrid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t>Наименование свободного программного обеспечения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Наименование лицензии</w:t>
            </w:r>
          </w:p>
        </w:tc>
      </w:tr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t>Ansible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GPLv3</w:t>
            </w:r>
          </w:p>
        </w:tc>
      </w:tr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t>Cassandra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Apache License 2.0</w:t>
            </w:r>
          </w:p>
        </w:tc>
      </w:tr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t>ActiveMQ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Apache License 2.0</w:t>
            </w:r>
          </w:p>
        </w:tc>
      </w:tr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t>Tomcat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Apache License 2.0</w:t>
            </w:r>
          </w:p>
        </w:tc>
      </w:tr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t>Hadoop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Apache License 2.0</w:t>
            </w:r>
          </w:p>
        </w:tc>
      </w:tr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t>Zookeper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Apache License 2.0</w:t>
            </w:r>
          </w:p>
        </w:tc>
      </w:tr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t>Spark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Apache License 2.0</w:t>
            </w:r>
          </w:p>
        </w:tc>
      </w:tr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t>CentOS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GPLv2</w:t>
            </w:r>
          </w:p>
        </w:tc>
      </w:tr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lastRenderedPageBreak/>
              <w:t>Kubernetes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Apache License 2.0</w:t>
            </w:r>
          </w:p>
        </w:tc>
      </w:tr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t>Prometheus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Apache License 2.0</w:t>
            </w:r>
          </w:p>
        </w:tc>
      </w:tr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t>Docker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Apache License 2.0</w:t>
            </w:r>
          </w:p>
        </w:tc>
      </w:tr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t>ElasticSearch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Server Side Public License</w:t>
            </w:r>
          </w:p>
        </w:tc>
      </w:tr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t>Kibana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Apache License 2.0</w:t>
            </w:r>
          </w:p>
        </w:tc>
      </w:tr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t>Enterprise Data Hub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Apache License 2.0</w:t>
            </w:r>
          </w:p>
        </w:tc>
      </w:tr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t>LogStash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Apache License 2.0</w:t>
            </w:r>
          </w:p>
        </w:tc>
      </w:tr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t>Gitlab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MIT License</w:t>
            </w:r>
          </w:p>
        </w:tc>
      </w:tr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t>AngularJS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MIT License</w:t>
            </w:r>
          </w:p>
        </w:tc>
      </w:tr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t>Grafana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AGPLv3</w:t>
            </w:r>
          </w:p>
        </w:tc>
      </w:tr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t>Greenplum Database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Apache License 2.0</w:t>
            </w:r>
          </w:p>
        </w:tc>
      </w:tr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t>Istio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Apache License 2.0</w:t>
            </w:r>
          </w:p>
        </w:tc>
      </w:tr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t>RabbitMQ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Mozilla Public License</w:t>
            </w:r>
          </w:p>
        </w:tc>
      </w:tr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t>Jenkins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MIT License</w:t>
            </w:r>
          </w:p>
        </w:tc>
      </w:tr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t>MongoDB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Server Side Public License</w:t>
            </w:r>
          </w:p>
        </w:tc>
      </w:tr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t>MariaDB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GPLv2</w:t>
            </w:r>
          </w:p>
        </w:tc>
      </w:tr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t>MySQL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GPLv2</w:t>
            </w:r>
          </w:p>
        </w:tc>
      </w:tr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t>ClickHouse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Apache License 2.0</w:t>
            </w:r>
          </w:p>
        </w:tc>
      </w:tr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t>Zabbix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GPLv2</w:t>
            </w:r>
          </w:p>
        </w:tc>
      </w:tr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t>PostgreSQL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PostgreSQL License</w:t>
            </w:r>
          </w:p>
        </w:tc>
      </w:tr>
      <w:tr w:rsidR="00D37325">
        <w:tc>
          <w:tcPr>
            <w:tcW w:w="4526" w:type="dxa"/>
          </w:tcPr>
          <w:p w:rsidR="00D37325" w:rsidRDefault="00D37325">
            <w:pPr>
              <w:pStyle w:val="ConsPlusNormal"/>
              <w:jc w:val="center"/>
            </w:pPr>
            <w:r>
              <w:t>FreeBSD</w:t>
            </w:r>
          </w:p>
        </w:tc>
        <w:tc>
          <w:tcPr>
            <w:tcW w:w="4527" w:type="dxa"/>
          </w:tcPr>
          <w:p w:rsidR="00D37325" w:rsidRDefault="00D37325">
            <w:pPr>
              <w:pStyle w:val="ConsPlusNormal"/>
              <w:jc w:val="center"/>
            </w:pPr>
            <w:r>
              <w:t>2-clouse BSD</w:t>
            </w:r>
          </w:p>
        </w:tc>
      </w:tr>
    </w:tbl>
    <w:p w:rsidR="00D37325" w:rsidRDefault="00D37325">
      <w:pPr>
        <w:pStyle w:val="ConsPlusNormal"/>
        <w:jc w:val="both"/>
      </w:pPr>
    </w:p>
    <w:p w:rsidR="00D37325" w:rsidRDefault="00D37325">
      <w:pPr>
        <w:pStyle w:val="ConsPlusNormal"/>
        <w:jc w:val="both"/>
      </w:pPr>
    </w:p>
    <w:p w:rsidR="00D37325" w:rsidRDefault="00D37325">
      <w:pPr>
        <w:pStyle w:val="ConsPlusNormal"/>
        <w:jc w:val="both"/>
      </w:pPr>
    </w:p>
    <w:p w:rsidR="00D37325" w:rsidRDefault="00D37325">
      <w:pPr>
        <w:pStyle w:val="ConsPlusNormal"/>
        <w:jc w:val="both"/>
      </w:pPr>
    </w:p>
    <w:p w:rsidR="00D37325" w:rsidRDefault="00D37325">
      <w:pPr>
        <w:pStyle w:val="ConsPlusNormal"/>
        <w:jc w:val="both"/>
      </w:pPr>
    </w:p>
    <w:p w:rsidR="00D37325" w:rsidRDefault="00D37325">
      <w:pPr>
        <w:pStyle w:val="ConsPlusNormal"/>
        <w:jc w:val="right"/>
        <w:outlineLvl w:val="0"/>
      </w:pPr>
      <w:r>
        <w:t>Приложение 5</w:t>
      </w:r>
    </w:p>
    <w:p w:rsidR="00D37325" w:rsidRDefault="00D37325">
      <w:pPr>
        <w:pStyle w:val="ConsPlusNormal"/>
        <w:jc w:val="right"/>
      </w:pPr>
      <w:r>
        <w:t>к Методическим рекомендациям</w:t>
      </w:r>
    </w:p>
    <w:p w:rsidR="00D37325" w:rsidRDefault="00D37325">
      <w:pPr>
        <w:pStyle w:val="ConsPlusNormal"/>
        <w:jc w:val="right"/>
      </w:pPr>
      <w:r>
        <w:t>по описанию наименований объектов</w:t>
      </w:r>
    </w:p>
    <w:p w:rsidR="00D37325" w:rsidRDefault="00D37325">
      <w:pPr>
        <w:pStyle w:val="ConsPlusNormal"/>
        <w:jc w:val="right"/>
      </w:pPr>
      <w:r>
        <w:t>информационной инфраструктуры</w:t>
      </w:r>
    </w:p>
    <w:p w:rsidR="00D37325" w:rsidRDefault="00D37325">
      <w:pPr>
        <w:pStyle w:val="ConsPlusNormal"/>
        <w:jc w:val="right"/>
      </w:pPr>
      <w:r>
        <w:t>от 20 декабря 2023 года N 18-МР</w:t>
      </w:r>
    </w:p>
    <w:p w:rsidR="00D37325" w:rsidRDefault="00D37325">
      <w:pPr>
        <w:pStyle w:val="ConsPlusNormal"/>
        <w:jc w:val="both"/>
      </w:pPr>
    </w:p>
    <w:p w:rsidR="00D37325" w:rsidRDefault="00D37325">
      <w:pPr>
        <w:pStyle w:val="ConsPlusTitle"/>
        <w:jc w:val="center"/>
      </w:pPr>
      <w:bookmarkStart w:id="11" w:name="P1395"/>
      <w:bookmarkEnd w:id="11"/>
      <w:r>
        <w:t>ПРИМЕРЫ</w:t>
      </w:r>
    </w:p>
    <w:p w:rsidR="00D37325" w:rsidRDefault="00D37325">
      <w:pPr>
        <w:pStyle w:val="ConsPlusTitle"/>
        <w:jc w:val="center"/>
      </w:pPr>
      <w:r>
        <w:t>ЛИЦЕНЗИЙ СВОБОДНОГО ПРОГРАММНОГО ОБЕСПЕЧЕНИЯ (OPEN SOURCE)</w:t>
      </w:r>
    </w:p>
    <w:p w:rsidR="00D37325" w:rsidRDefault="00D37325">
      <w:pPr>
        <w:pStyle w:val="ConsPlusTitle"/>
        <w:jc w:val="center"/>
      </w:pPr>
      <w:r>
        <w:t>И ТИПОВ ЭТИХ ЛИЦЕНЗИЙ</w:t>
      </w:r>
    </w:p>
    <w:p w:rsidR="00D37325" w:rsidRDefault="00D373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0"/>
        <w:gridCol w:w="3010"/>
        <w:gridCol w:w="3010"/>
      </w:tblGrid>
      <w:tr w:rsidR="00D37325">
        <w:tc>
          <w:tcPr>
            <w:tcW w:w="3010" w:type="dxa"/>
          </w:tcPr>
          <w:p w:rsidR="00D37325" w:rsidRDefault="00D37325">
            <w:pPr>
              <w:pStyle w:val="ConsPlusNormal"/>
              <w:jc w:val="center"/>
            </w:pPr>
            <w:r>
              <w:lastRenderedPageBreak/>
              <w:t>Наименование лицензии</w:t>
            </w:r>
          </w:p>
        </w:tc>
        <w:tc>
          <w:tcPr>
            <w:tcW w:w="3010" w:type="dxa"/>
          </w:tcPr>
          <w:p w:rsidR="00D37325" w:rsidRDefault="00D37325">
            <w:pPr>
              <w:pStyle w:val="ConsPlusNormal"/>
              <w:jc w:val="center"/>
            </w:pPr>
            <w:r>
              <w:t>Тип лицензии</w:t>
            </w:r>
          </w:p>
        </w:tc>
        <w:tc>
          <w:tcPr>
            <w:tcW w:w="3010" w:type="dxa"/>
          </w:tcPr>
          <w:p w:rsidR="00D37325" w:rsidRDefault="00D37325">
            <w:pPr>
              <w:pStyle w:val="ConsPlusNormal"/>
              <w:jc w:val="center"/>
            </w:pPr>
            <w:r>
              <w:t>Код</w:t>
            </w:r>
          </w:p>
        </w:tc>
      </w:tr>
      <w:tr w:rsidR="00D37325">
        <w:tc>
          <w:tcPr>
            <w:tcW w:w="3010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2-clouse BSD</w:t>
            </w:r>
          </w:p>
        </w:tc>
        <w:tc>
          <w:tcPr>
            <w:tcW w:w="3010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Permissive</w:t>
            </w:r>
          </w:p>
          <w:p w:rsidR="00D37325" w:rsidRDefault="00D37325">
            <w:pPr>
              <w:pStyle w:val="ConsPlusNormal"/>
              <w:jc w:val="center"/>
            </w:pPr>
            <w:r>
              <w:t>(разрешительные)</w:t>
            </w:r>
          </w:p>
        </w:tc>
        <w:tc>
          <w:tcPr>
            <w:tcW w:w="3010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Лиц1</w:t>
            </w:r>
          </w:p>
        </w:tc>
      </w:tr>
      <w:tr w:rsidR="00D37325">
        <w:tc>
          <w:tcPr>
            <w:tcW w:w="3010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3-clouse BSD</w:t>
            </w:r>
          </w:p>
        </w:tc>
        <w:tc>
          <w:tcPr>
            <w:tcW w:w="3010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Permissive</w:t>
            </w:r>
          </w:p>
          <w:p w:rsidR="00D37325" w:rsidRDefault="00D37325">
            <w:pPr>
              <w:pStyle w:val="ConsPlusNormal"/>
              <w:jc w:val="center"/>
            </w:pPr>
            <w:r>
              <w:t>(разрешительные)</w:t>
            </w:r>
          </w:p>
        </w:tc>
        <w:tc>
          <w:tcPr>
            <w:tcW w:w="3010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Лиц1</w:t>
            </w:r>
          </w:p>
        </w:tc>
      </w:tr>
      <w:tr w:rsidR="00D37325">
        <w:tc>
          <w:tcPr>
            <w:tcW w:w="3010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MIT License</w:t>
            </w:r>
          </w:p>
        </w:tc>
        <w:tc>
          <w:tcPr>
            <w:tcW w:w="3010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Permissive</w:t>
            </w:r>
          </w:p>
          <w:p w:rsidR="00D37325" w:rsidRDefault="00D37325">
            <w:pPr>
              <w:pStyle w:val="ConsPlusNormal"/>
              <w:jc w:val="center"/>
            </w:pPr>
            <w:r>
              <w:t>(разрешительные)</w:t>
            </w:r>
          </w:p>
        </w:tc>
        <w:tc>
          <w:tcPr>
            <w:tcW w:w="3010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Лиц1</w:t>
            </w:r>
          </w:p>
        </w:tc>
      </w:tr>
      <w:tr w:rsidR="00D37325">
        <w:tc>
          <w:tcPr>
            <w:tcW w:w="3010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Apache License 2.0</w:t>
            </w:r>
          </w:p>
        </w:tc>
        <w:tc>
          <w:tcPr>
            <w:tcW w:w="3010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Permissive</w:t>
            </w:r>
          </w:p>
          <w:p w:rsidR="00D37325" w:rsidRDefault="00D37325">
            <w:pPr>
              <w:pStyle w:val="ConsPlusNormal"/>
              <w:jc w:val="center"/>
            </w:pPr>
            <w:r>
              <w:t>(разрешительные)</w:t>
            </w:r>
          </w:p>
        </w:tc>
        <w:tc>
          <w:tcPr>
            <w:tcW w:w="3010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Лиц1</w:t>
            </w:r>
          </w:p>
        </w:tc>
      </w:tr>
      <w:tr w:rsidR="00D37325">
        <w:tc>
          <w:tcPr>
            <w:tcW w:w="3010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ISC license</w:t>
            </w:r>
          </w:p>
        </w:tc>
        <w:tc>
          <w:tcPr>
            <w:tcW w:w="3010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Permissive</w:t>
            </w:r>
          </w:p>
          <w:p w:rsidR="00D37325" w:rsidRDefault="00D37325">
            <w:pPr>
              <w:pStyle w:val="ConsPlusNormal"/>
              <w:jc w:val="center"/>
            </w:pPr>
            <w:r>
              <w:t>(разрешительные)</w:t>
            </w:r>
          </w:p>
        </w:tc>
        <w:tc>
          <w:tcPr>
            <w:tcW w:w="3010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Лиц1</w:t>
            </w:r>
          </w:p>
        </w:tc>
      </w:tr>
      <w:tr w:rsidR="00D37325">
        <w:tc>
          <w:tcPr>
            <w:tcW w:w="3010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LGPLv3</w:t>
            </w:r>
          </w:p>
        </w:tc>
        <w:tc>
          <w:tcPr>
            <w:tcW w:w="3010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Weak Copyleft (условный копилефт)</w:t>
            </w:r>
          </w:p>
        </w:tc>
        <w:tc>
          <w:tcPr>
            <w:tcW w:w="3010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Лиц2</w:t>
            </w:r>
          </w:p>
        </w:tc>
      </w:tr>
      <w:tr w:rsidR="00D37325">
        <w:tc>
          <w:tcPr>
            <w:tcW w:w="3010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LGPLv2.1</w:t>
            </w:r>
          </w:p>
        </w:tc>
        <w:tc>
          <w:tcPr>
            <w:tcW w:w="3010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Weak Copyleft (условный копилефт)</w:t>
            </w:r>
          </w:p>
        </w:tc>
        <w:tc>
          <w:tcPr>
            <w:tcW w:w="3010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Лиц2</w:t>
            </w:r>
          </w:p>
        </w:tc>
      </w:tr>
      <w:tr w:rsidR="00D37325">
        <w:tc>
          <w:tcPr>
            <w:tcW w:w="3010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Mozilla Public License 1.1</w:t>
            </w:r>
          </w:p>
        </w:tc>
        <w:tc>
          <w:tcPr>
            <w:tcW w:w="3010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Weak Copyleft (условный копилефт)</w:t>
            </w:r>
          </w:p>
        </w:tc>
        <w:tc>
          <w:tcPr>
            <w:tcW w:w="3010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Лиц2</w:t>
            </w:r>
          </w:p>
        </w:tc>
      </w:tr>
      <w:tr w:rsidR="00D37325">
        <w:tc>
          <w:tcPr>
            <w:tcW w:w="3010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SUN Public Licensee 1.0</w:t>
            </w:r>
          </w:p>
        </w:tc>
        <w:tc>
          <w:tcPr>
            <w:tcW w:w="3010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Weak Copyleft (условный копилефт)</w:t>
            </w:r>
          </w:p>
        </w:tc>
        <w:tc>
          <w:tcPr>
            <w:tcW w:w="3010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Лиц2</w:t>
            </w:r>
          </w:p>
        </w:tc>
      </w:tr>
      <w:tr w:rsidR="00D37325">
        <w:tc>
          <w:tcPr>
            <w:tcW w:w="3010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GPLv2</w:t>
            </w:r>
          </w:p>
        </w:tc>
        <w:tc>
          <w:tcPr>
            <w:tcW w:w="3010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Copyleft (копилефт)</w:t>
            </w:r>
          </w:p>
        </w:tc>
        <w:tc>
          <w:tcPr>
            <w:tcW w:w="3010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Лиц3</w:t>
            </w:r>
          </w:p>
        </w:tc>
      </w:tr>
      <w:tr w:rsidR="00D37325">
        <w:tc>
          <w:tcPr>
            <w:tcW w:w="3010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GPLv3</w:t>
            </w:r>
          </w:p>
        </w:tc>
        <w:tc>
          <w:tcPr>
            <w:tcW w:w="3010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Copyleft (копилефт)</w:t>
            </w:r>
          </w:p>
        </w:tc>
        <w:tc>
          <w:tcPr>
            <w:tcW w:w="3010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Лиц3</w:t>
            </w:r>
          </w:p>
        </w:tc>
      </w:tr>
      <w:tr w:rsidR="00D37325">
        <w:tc>
          <w:tcPr>
            <w:tcW w:w="3010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AGPLv3</w:t>
            </w:r>
          </w:p>
        </w:tc>
        <w:tc>
          <w:tcPr>
            <w:tcW w:w="3010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Copyleft (копилефт)</w:t>
            </w:r>
          </w:p>
        </w:tc>
        <w:tc>
          <w:tcPr>
            <w:tcW w:w="3010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Лиц3</w:t>
            </w:r>
          </w:p>
        </w:tc>
      </w:tr>
      <w:tr w:rsidR="00D37325">
        <w:tc>
          <w:tcPr>
            <w:tcW w:w="3010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Eclipse Public License</w:t>
            </w:r>
          </w:p>
        </w:tc>
        <w:tc>
          <w:tcPr>
            <w:tcW w:w="3010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Copyleft (копилефт)</w:t>
            </w:r>
          </w:p>
        </w:tc>
        <w:tc>
          <w:tcPr>
            <w:tcW w:w="3010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Лиц3</w:t>
            </w:r>
          </w:p>
        </w:tc>
      </w:tr>
      <w:tr w:rsidR="00D37325">
        <w:tc>
          <w:tcPr>
            <w:tcW w:w="3010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IBM Public License</w:t>
            </w:r>
          </w:p>
        </w:tc>
        <w:tc>
          <w:tcPr>
            <w:tcW w:w="3010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Copyleft (копилефт)</w:t>
            </w:r>
          </w:p>
        </w:tc>
        <w:tc>
          <w:tcPr>
            <w:tcW w:w="3010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Лиц3</w:t>
            </w:r>
          </w:p>
        </w:tc>
      </w:tr>
      <w:tr w:rsidR="00D37325">
        <w:tc>
          <w:tcPr>
            <w:tcW w:w="3010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Server Side Public License</w:t>
            </w:r>
          </w:p>
        </w:tc>
        <w:tc>
          <w:tcPr>
            <w:tcW w:w="3010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Copyleft (копилефт)</w:t>
            </w:r>
          </w:p>
        </w:tc>
        <w:tc>
          <w:tcPr>
            <w:tcW w:w="3010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Лиц3</w:t>
            </w:r>
          </w:p>
        </w:tc>
      </w:tr>
      <w:tr w:rsidR="00D37325">
        <w:tc>
          <w:tcPr>
            <w:tcW w:w="3010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Open Software License</w:t>
            </w:r>
          </w:p>
        </w:tc>
        <w:tc>
          <w:tcPr>
            <w:tcW w:w="3010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Copyleft (копилефт)</w:t>
            </w:r>
          </w:p>
        </w:tc>
        <w:tc>
          <w:tcPr>
            <w:tcW w:w="3010" w:type="dxa"/>
            <w:vAlign w:val="center"/>
          </w:tcPr>
          <w:p w:rsidR="00D37325" w:rsidRDefault="00D37325">
            <w:pPr>
              <w:pStyle w:val="ConsPlusNormal"/>
              <w:jc w:val="center"/>
            </w:pPr>
            <w:r>
              <w:t>Лиц3</w:t>
            </w:r>
          </w:p>
        </w:tc>
      </w:tr>
    </w:tbl>
    <w:p w:rsidR="00D37325" w:rsidRDefault="00D37325">
      <w:pPr>
        <w:pStyle w:val="ConsPlusNormal"/>
        <w:jc w:val="both"/>
      </w:pPr>
    </w:p>
    <w:p w:rsidR="00D37325" w:rsidRDefault="00D37325">
      <w:pPr>
        <w:pStyle w:val="ConsPlusNormal"/>
        <w:jc w:val="both"/>
      </w:pPr>
    </w:p>
    <w:p w:rsidR="00D37325" w:rsidRDefault="00D3732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6037" w:rsidRDefault="00D37325">
      <w:bookmarkStart w:id="12" w:name="_GoBack"/>
      <w:bookmarkEnd w:id="12"/>
    </w:p>
    <w:sectPr w:rsidR="00DD6037" w:rsidSect="00FA3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25"/>
    <w:rsid w:val="00060265"/>
    <w:rsid w:val="000C6A82"/>
    <w:rsid w:val="002A0594"/>
    <w:rsid w:val="003F3FF5"/>
    <w:rsid w:val="0066140A"/>
    <w:rsid w:val="006B01D5"/>
    <w:rsid w:val="00884A0C"/>
    <w:rsid w:val="00D3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7467A-C093-4C40-AB1F-8339B248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73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373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373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373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373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373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373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extList">
    <w:name w:val="ConsPlusTextList"/>
    <w:rsid w:val="00D373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6359&amp;dst=117535" TargetMode="External"/><Relationship Id="rId18" Type="http://schemas.openxmlformats.org/officeDocument/2006/relationships/hyperlink" Target="https://login.consultant.ru/link/?req=doc&amp;base=LAW&amp;n=439729" TargetMode="External"/><Relationship Id="rId26" Type="http://schemas.openxmlformats.org/officeDocument/2006/relationships/hyperlink" Target="https://login.consultant.ru/link/?req=doc&amp;base=LAW&amp;n=43874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5990&amp;dst=100018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66554" TargetMode="External"/><Relationship Id="rId12" Type="http://schemas.openxmlformats.org/officeDocument/2006/relationships/hyperlink" Target="https://login.consultant.ru/link/?req=doc&amp;base=LAW&amp;n=439866" TargetMode="External"/><Relationship Id="rId17" Type="http://schemas.openxmlformats.org/officeDocument/2006/relationships/hyperlink" Target="https://login.consultant.ru/link/?req=doc&amp;base=LAW&amp;n=439729&amp;dst=102059" TargetMode="External"/><Relationship Id="rId25" Type="http://schemas.openxmlformats.org/officeDocument/2006/relationships/hyperlink" Target="https://login.consultant.ru/link/?req=doc&amp;base=LAW&amp;n=465990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9029" TargetMode="External"/><Relationship Id="rId20" Type="http://schemas.openxmlformats.org/officeDocument/2006/relationships/hyperlink" Target="https://login.consultant.ru/link/?req=doc&amp;base=LAW&amp;n=478419" TargetMode="External"/><Relationship Id="rId29" Type="http://schemas.openxmlformats.org/officeDocument/2006/relationships/hyperlink" Target="https://login.consultant.ru/link/?req=doc&amp;base=LAW&amp;n=456149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3977&amp;dst=100029" TargetMode="External"/><Relationship Id="rId11" Type="http://schemas.openxmlformats.org/officeDocument/2006/relationships/hyperlink" Target="https://login.consultant.ru/link/?req=doc&amp;base=LAW&amp;n=439866&amp;dst=109753" TargetMode="External"/><Relationship Id="rId24" Type="http://schemas.openxmlformats.org/officeDocument/2006/relationships/hyperlink" Target="https://login.consultant.ru/link/?req=doc&amp;base=LAW&amp;n=438745&amp;dst=100042" TargetMode="External"/><Relationship Id="rId32" Type="http://schemas.openxmlformats.org/officeDocument/2006/relationships/hyperlink" Target="https://login.consultant.ru/link/?req=doc&amp;base=LAW&amp;n=356088" TargetMode="External"/><Relationship Id="rId5" Type="http://schemas.openxmlformats.org/officeDocument/2006/relationships/hyperlink" Target="https://login.consultant.ru/link/?req=doc&amp;base=LAW&amp;n=466554&amp;dst=100040" TargetMode="External"/><Relationship Id="rId15" Type="http://schemas.openxmlformats.org/officeDocument/2006/relationships/hyperlink" Target="https://login.consultant.ru/link/?req=doc&amp;base=LAW&amp;n=429029&amp;dst=115034" TargetMode="External"/><Relationship Id="rId23" Type="http://schemas.openxmlformats.org/officeDocument/2006/relationships/hyperlink" Target="https://login.consultant.ru/link/?req=doc&amp;base=LAW&amp;n=438745&amp;dst=100028" TargetMode="External"/><Relationship Id="rId28" Type="http://schemas.openxmlformats.org/officeDocument/2006/relationships/hyperlink" Target="https://login.consultant.ru/link/?req=doc&amp;base=LAW&amp;n=436110&amp;dst=100209" TargetMode="External"/><Relationship Id="rId10" Type="http://schemas.openxmlformats.org/officeDocument/2006/relationships/hyperlink" Target="https://login.consultant.ru/link/?req=doc&amp;base=LAW&amp;n=432306" TargetMode="External"/><Relationship Id="rId19" Type="http://schemas.openxmlformats.org/officeDocument/2006/relationships/hyperlink" Target="https://login.consultant.ru/link/?req=doc&amp;base=LAW&amp;n=478419&amp;dst=101668" TargetMode="External"/><Relationship Id="rId31" Type="http://schemas.openxmlformats.org/officeDocument/2006/relationships/hyperlink" Target="https://login.consultant.ru/link/?req=doc&amp;base=LAW&amp;n=464650&amp;dst=10005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32306&amp;dst=138984" TargetMode="External"/><Relationship Id="rId14" Type="http://schemas.openxmlformats.org/officeDocument/2006/relationships/hyperlink" Target="https://login.consultant.ru/link/?req=doc&amp;base=LAW&amp;n=466359" TargetMode="External"/><Relationship Id="rId22" Type="http://schemas.openxmlformats.org/officeDocument/2006/relationships/hyperlink" Target="https://login.consultant.ru/link/?req=doc&amp;base=LAW&amp;n=438745&amp;dst=100024" TargetMode="External"/><Relationship Id="rId27" Type="http://schemas.openxmlformats.org/officeDocument/2006/relationships/hyperlink" Target="https://login.consultant.ru/link/?req=doc&amp;base=LAW&amp;n=482702&amp;dst=548" TargetMode="External"/><Relationship Id="rId30" Type="http://schemas.openxmlformats.org/officeDocument/2006/relationships/hyperlink" Target="https://login.consultant.ru/link/?req=doc&amp;base=LAW&amp;n=463509&amp;dst=25" TargetMode="External"/><Relationship Id="rId8" Type="http://schemas.openxmlformats.org/officeDocument/2006/relationships/hyperlink" Target="https://login.consultant.ru/link/?req=doc&amp;base=LAW&amp;n=4139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9413</Words>
  <Characters>53659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Melnikova</dc:creator>
  <cp:keywords/>
  <dc:description/>
  <cp:lastModifiedBy>Elvira Melnikova</cp:lastModifiedBy>
  <cp:revision>1</cp:revision>
  <dcterms:created xsi:type="dcterms:W3CDTF">2024-08-15T05:30:00Z</dcterms:created>
  <dcterms:modified xsi:type="dcterms:W3CDTF">2024-08-15T05:31:00Z</dcterms:modified>
</cp:coreProperties>
</file>